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GridTable4-Accent1"/>
        <w:tblW w:w="9322" w:type="dxa"/>
        <w:tblLayout w:type="fixed"/>
        <w:tblLook w:val="04A0" w:firstRow="1" w:lastRow="0" w:firstColumn="1" w:lastColumn="0" w:noHBand="0" w:noVBand="1"/>
      </w:tblPr>
      <w:tblGrid>
        <w:gridCol w:w="2330"/>
        <w:gridCol w:w="2331"/>
        <w:gridCol w:w="2330"/>
        <w:gridCol w:w="2331"/>
      </w:tblGrid>
      <w:tr w:rsidR="001E2440" w:rsidRPr="001E2440" w14:paraId="7E29A55F" w14:textId="77777777" w:rsidTr="001D761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22" w:type="dxa"/>
            <w:gridSpan w:val="4"/>
          </w:tcPr>
          <w:p w14:paraId="4EFA94C2" w14:textId="680446A3" w:rsidR="001E2440" w:rsidRPr="001E2440" w:rsidRDefault="001E2440" w:rsidP="00D810DE">
            <w:pPr>
              <w:spacing w:after="200" w:line="276" w:lineRule="auto"/>
              <w:jc w:val="both"/>
              <w:rPr>
                <w:b w:val="0"/>
                <w:bCs w:val="0"/>
                <w:color w:val="auto"/>
              </w:rPr>
            </w:pPr>
            <w:r w:rsidRPr="001E2440">
              <w:rPr>
                <w:color w:val="auto"/>
                <w:lang w:val="de-AT"/>
              </w:rPr>
              <w:t>Autorinnenteam</w:t>
            </w:r>
            <w:r>
              <w:rPr>
                <w:color w:val="auto"/>
                <w:lang w:val="de-AT"/>
              </w:rPr>
              <w:t xml:space="preserve">: </w:t>
            </w:r>
            <w:r w:rsidRPr="001E2440">
              <w:rPr>
                <w:color w:val="auto"/>
                <w:lang w:val="de-AT"/>
              </w:rPr>
              <w:t xml:space="preserve"> </w:t>
            </w:r>
            <w:proofErr w:type="spellStart"/>
            <w:r w:rsidRPr="001E2440">
              <w:rPr>
                <w:i/>
                <w:iCs/>
                <w:color w:val="auto"/>
                <w:sz w:val="36"/>
                <w:szCs w:val="36"/>
              </w:rPr>
              <w:t>Μιλάμε</w:t>
            </w:r>
            <w:proofErr w:type="spellEnd"/>
          </w:p>
        </w:tc>
      </w:tr>
      <w:tr w:rsidR="001E2440" w:rsidRPr="001E2440" w14:paraId="5D366CCE" w14:textId="77777777" w:rsidTr="001E24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0" w:type="dxa"/>
          </w:tcPr>
          <w:p w14:paraId="1EBA37FB" w14:textId="3C3DFEE6" w:rsidR="001E2440" w:rsidRDefault="001E2440" w:rsidP="00D810DE">
            <w:pPr>
              <w:jc w:val="both"/>
              <w:rPr>
                <w:b w:val="0"/>
                <w:bCs w:val="0"/>
                <w:lang w:val="de-AT"/>
              </w:rPr>
            </w:pPr>
            <w:r w:rsidRPr="001E2440">
              <w:rPr>
                <w:lang w:val="de-AT"/>
              </w:rPr>
              <w:t>Dr. Elisabeth Poelzleitner</w:t>
            </w:r>
          </w:p>
          <w:p w14:paraId="3168A3FC" w14:textId="77777777" w:rsidR="001E2440" w:rsidRPr="001E2440" w:rsidRDefault="001E2440" w:rsidP="00D810DE">
            <w:pPr>
              <w:jc w:val="both"/>
              <w:rPr>
                <w:lang w:val="de-AT"/>
              </w:rPr>
            </w:pPr>
          </w:p>
          <w:p w14:paraId="1D363520" w14:textId="77777777" w:rsidR="001E2440" w:rsidRPr="001E2440" w:rsidRDefault="001E2440" w:rsidP="00D810DE">
            <w:pPr>
              <w:jc w:val="both"/>
              <w:rPr>
                <w:b w:val="0"/>
                <w:bCs w:val="0"/>
                <w:lang w:val="de-AT"/>
              </w:rPr>
            </w:pPr>
            <w:r w:rsidRPr="001E2440">
              <w:rPr>
                <w:b w:val="0"/>
                <w:bCs w:val="0"/>
                <w:lang w:val="de-AT"/>
              </w:rPr>
              <w:t xml:space="preserve">Scheigergasse 74, </w:t>
            </w:r>
          </w:p>
          <w:p w14:paraId="6902656F" w14:textId="3E42A163" w:rsidR="001E2440" w:rsidRPr="001E2440" w:rsidRDefault="001E2440" w:rsidP="00D810DE">
            <w:pPr>
              <w:jc w:val="both"/>
              <w:rPr>
                <w:b w:val="0"/>
                <w:bCs w:val="0"/>
                <w:lang w:val="de-AT"/>
              </w:rPr>
            </w:pPr>
            <w:r w:rsidRPr="001E2440">
              <w:rPr>
                <w:b w:val="0"/>
                <w:bCs w:val="0"/>
                <w:lang w:val="de-AT"/>
              </w:rPr>
              <w:t>8010 Graz</w:t>
            </w:r>
          </w:p>
          <w:p w14:paraId="1BFA3795" w14:textId="77777777" w:rsidR="001E2440" w:rsidRPr="001E2440" w:rsidRDefault="001E2440" w:rsidP="00D810DE">
            <w:pPr>
              <w:jc w:val="both"/>
              <w:rPr>
                <w:b w:val="0"/>
                <w:bCs w:val="0"/>
                <w:lang w:val="de-AT"/>
              </w:rPr>
            </w:pPr>
            <w:r w:rsidRPr="001E2440">
              <w:rPr>
                <w:b w:val="0"/>
                <w:bCs w:val="0"/>
                <w:lang w:val="de-AT"/>
              </w:rPr>
              <w:t>Austria</w:t>
            </w:r>
          </w:p>
          <w:p w14:paraId="693303F3" w14:textId="77777777" w:rsidR="001E2440" w:rsidRPr="001E2440" w:rsidRDefault="001E2440" w:rsidP="00D810DE">
            <w:pPr>
              <w:jc w:val="both"/>
              <w:rPr>
                <w:b w:val="0"/>
                <w:bCs w:val="0"/>
                <w:lang w:val="de-AT"/>
              </w:rPr>
            </w:pPr>
            <w:r w:rsidRPr="001E2440">
              <w:rPr>
                <w:b w:val="0"/>
                <w:bCs w:val="0"/>
                <w:lang w:val="de-AT"/>
              </w:rPr>
              <w:t>lis@polzleitner.net</w:t>
            </w:r>
          </w:p>
        </w:tc>
        <w:tc>
          <w:tcPr>
            <w:tcW w:w="2331" w:type="dxa"/>
          </w:tcPr>
          <w:p w14:paraId="652B83A7" w14:textId="1667B9A4" w:rsidR="001E2440" w:rsidRDefault="001E2440" w:rsidP="00D810DE">
            <w:pPr>
              <w:jc w:val="both"/>
              <w:cnfStyle w:val="000000100000" w:firstRow="0" w:lastRow="0" w:firstColumn="0" w:lastColumn="0" w:oddVBand="0" w:evenVBand="0" w:oddHBand="1" w:evenHBand="0" w:firstRowFirstColumn="0" w:firstRowLastColumn="0" w:lastRowFirstColumn="0" w:lastRowLastColumn="0"/>
              <w:rPr>
                <w:b/>
                <w:bCs/>
              </w:rPr>
            </w:pPr>
            <w:r w:rsidRPr="001E2440">
              <w:rPr>
                <w:b/>
                <w:bCs/>
              </w:rPr>
              <w:t xml:space="preserve">Margarita </w:t>
            </w:r>
            <w:proofErr w:type="spellStart"/>
            <w:r w:rsidRPr="001E2440">
              <w:rPr>
                <w:b/>
                <w:bCs/>
              </w:rPr>
              <w:t>Kastanara</w:t>
            </w:r>
            <w:proofErr w:type="spellEnd"/>
            <w:r w:rsidRPr="001E2440">
              <w:rPr>
                <w:b/>
                <w:bCs/>
              </w:rPr>
              <w:t>-Baumgartner</w:t>
            </w:r>
          </w:p>
          <w:p w14:paraId="244979CF" w14:textId="77777777" w:rsidR="001E2440" w:rsidRPr="001E2440" w:rsidRDefault="001E2440" w:rsidP="00D810DE">
            <w:pPr>
              <w:jc w:val="both"/>
              <w:cnfStyle w:val="000000100000" w:firstRow="0" w:lastRow="0" w:firstColumn="0" w:lastColumn="0" w:oddVBand="0" w:evenVBand="0" w:oddHBand="1" w:evenHBand="0" w:firstRowFirstColumn="0" w:firstRowLastColumn="0" w:lastRowFirstColumn="0" w:lastRowLastColumn="0"/>
              <w:rPr>
                <w:b/>
                <w:bCs/>
              </w:rPr>
            </w:pPr>
          </w:p>
          <w:p w14:paraId="5166799B" w14:textId="77777777" w:rsidR="001E2440" w:rsidRPr="001E2440" w:rsidRDefault="001E2440" w:rsidP="00D810DE">
            <w:pPr>
              <w:jc w:val="both"/>
              <w:cnfStyle w:val="000000100000" w:firstRow="0" w:lastRow="0" w:firstColumn="0" w:lastColumn="0" w:oddVBand="0" w:evenVBand="0" w:oddHBand="1" w:evenHBand="0" w:firstRowFirstColumn="0" w:firstRowLastColumn="0" w:lastRowFirstColumn="0" w:lastRowLastColumn="0"/>
              <w:rPr>
                <w:highlight w:val="yellow"/>
              </w:rPr>
            </w:pPr>
            <w:r w:rsidRPr="001E2440">
              <w:rPr>
                <w:highlight w:val="yellow"/>
              </w:rPr>
              <w:t>….</w:t>
            </w:r>
          </w:p>
          <w:p w14:paraId="63540447" w14:textId="77777777" w:rsidR="001E2440" w:rsidRPr="001E2440" w:rsidRDefault="001E2440" w:rsidP="00D810DE">
            <w:pPr>
              <w:jc w:val="both"/>
              <w:cnfStyle w:val="000000100000" w:firstRow="0" w:lastRow="0" w:firstColumn="0" w:lastColumn="0" w:oddVBand="0" w:evenVBand="0" w:oddHBand="1" w:evenHBand="0" w:firstRowFirstColumn="0" w:firstRowLastColumn="0" w:lastRowFirstColumn="0" w:lastRowLastColumn="0"/>
            </w:pPr>
            <w:r w:rsidRPr="001E2440">
              <w:rPr>
                <w:highlight w:val="yellow"/>
              </w:rPr>
              <w:t>…</w:t>
            </w:r>
          </w:p>
        </w:tc>
        <w:tc>
          <w:tcPr>
            <w:tcW w:w="2330" w:type="dxa"/>
          </w:tcPr>
          <w:p w14:paraId="2934F0E2" w14:textId="77777777" w:rsidR="001E2440" w:rsidRPr="001E2440" w:rsidRDefault="001E2440" w:rsidP="00D810DE">
            <w:pPr>
              <w:jc w:val="both"/>
              <w:cnfStyle w:val="000000100000" w:firstRow="0" w:lastRow="0" w:firstColumn="0" w:lastColumn="0" w:oddVBand="0" w:evenVBand="0" w:oddHBand="1" w:evenHBand="0" w:firstRowFirstColumn="0" w:firstRowLastColumn="0" w:lastRowFirstColumn="0" w:lastRowLastColumn="0"/>
              <w:rPr>
                <w:b/>
                <w:bCs/>
              </w:rPr>
            </w:pPr>
            <w:r w:rsidRPr="001E2440">
              <w:rPr>
                <w:b/>
                <w:bCs/>
              </w:rPr>
              <w:t xml:space="preserve">Eva </w:t>
            </w:r>
            <w:proofErr w:type="spellStart"/>
            <w:r w:rsidRPr="001E2440">
              <w:rPr>
                <w:b/>
                <w:bCs/>
              </w:rPr>
              <w:t>Kastanara</w:t>
            </w:r>
            <w:proofErr w:type="spellEnd"/>
          </w:p>
          <w:p w14:paraId="6F09E6D0" w14:textId="77777777" w:rsidR="001E2440" w:rsidRPr="001E2440" w:rsidRDefault="001E2440" w:rsidP="00D810DE">
            <w:pPr>
              <w:jc w:val="both"/>
              <w:cnfStyle w:val="000000100000" w:firstRow="0" w:lastRow="0" w:firstColumn="0" w:lastColumn="0" w:oddVBand="0" w:evenVBand="0" w:oddHBand="1" w:evenHBand="0" w:firstRowFirstColumn="0" w:firstRowLastColumn="0" w:lastRowFirstColumn="0" w:lastRowLastColumn="0"/>
            </w:pPr>
            <w:r w:rsidRPr="001E2440">
              <w:t>…</w:t>
            </w:r>
          </w:p>
          <w:p w14:paraId="69E8BC29" w14:textId="77777777" w:rsidR="001E2440" w:rsidRPr="001E2440" w:rsidRDefault="001E2440" w:rsidP="00D810DE">
            <w:pPr>
              <w:jc w:val="both"/>
              <w:cnfStyle w:val="000000100000" w:firstRow="0" w:lastRow="0" w:firstColumn="0" w:lastColumn="0" w:oddVBand="0" w:evenVBand="0" w:oddHBand="1" w:evenHBand="0" w:firstRowFirstColumn="0" w:firstRowLastColumn="0" w:lastRowFirstColumn="0" w:lastRowLastColumn="0"/>
            </w:pPr>
            <w:r w:rsidRPr="001E2440">
              <w:rPr>
                <w:highlight w:val="yellow"/>
              </w:rPr>
              <w:t>…</w:t>
            </w:r>
          </w:p>
          <w:p w14:paraId="208761D0" w14:textId="77777777" w:rsidR="001E2440" w:rsidRPr="001E2440" w:rsidRDefault="001E2440" w:rsidP="00D810DE">
            <w:pPr>
              <w:jc w:val="both"/>
              <w:cnfStyle w:val="000000100000" w:firstRow="0" w:lastRow="0" w:firstColumn="0" w:lastColumn="0" w:oddVBand="0" w:evenVBand="0" w:oddHBand="1" w:evenHBand="0" w:firstRowFirstColumn="0" w:firstRowLastColumn="0" w:lastRowFirstColumn="0" w:lastRowLastColumn="0"/>
            </w:pPr>
          </w:p>
        </w:tc>
        <w:tc>
          <w:tcPr>
            <w:tcW w:w="2331" w:type="dxa"/>
          </w:tcPr>
          <w:p w14:paraId="04C03824" w14:textId="54F5F513" w:rsidR="001E2440" w:rsidRPr="001E2440" w:rsidRDefault="001E2440" w:rsidP="00D810DE">
            <w:pPr>
              <w:jc w:val="both"/>
              <w:cnfStyle w:val="000000100000" w:firstRow="0" w:lastRow="0" w:firstColumn="0" w:lastColumn="0" w:oddVBand="0" w:evenVBand="0" w:oddHBand="1" w:evenHBand="0" w:firstRowFirstColumn="0" w:firstRowLastColumn="0" w:lastRowFirstColumn="0" w:lastRowLastColumn="0"/>
              <w:rPr>
                <w:b/>
                <w:bCs/>
              </w:rPr>
            </w:pPr>
            <w:r>
              <w:rPr>
                <w:b/>
                <w:bCs/>
                <w:noProof/>
              </w:rPr>
              <w:drawing>
                <wp:inline distT="0" distB="0" distL="0" distR="0" wp14:anchorId="31F80BB5" wp14:editId="4976AA4F">
                  <wp:extent cx="1179768" cy="1390015"/>
                  <wp:effectExtent l="0" t="0" r="1905" b="63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6">
                            <a:extLst>
                              <a:ext uri="{28A0092B-C50C-407E-A947-70E740481C1C}">
                                <a14:useLocalDpi xmlns:a14="http://schemas.microsoft.com/office/drawing/2010/main" val="0"/>
                              </a:ext>
                            </a:extLst>
                          </a:blip>
                          <a:srcRect t="4236" r="6677" b="8052"/>
                          <a:stretch/>
                        </pic:blipFill>
                        <pic:spPr bwMode="auto">
                          <a:xfrm>
                            <a:off x="0" y="0"/>
                            <a:ext cx="1204133" cy="1418722"/>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2B5444D7" w14:textId="77777777" w:rsidR="001E2440" w:rsidRDefault="001E2440" w:rsidP="00D810DE">
      <w:pPr>
        <w:jc w:val="both"/>
        <w:rPr>
          <w:lang w:val="de-AT"/>
        </w:rPr>
      </w:pPr>
    </w:p>
    <w:p w14:paraId="6E25972A" w14:textId="494A0446" w:rsidR="005E4CAE" w:rsidRPr="005E4CAE" w:rsidRDefault="005E4CAE" w:rsidP="00D810DE">
      <w:pPr>
        <w:pBdr>
          <w:bottom w:val="single" w:sz="4" w:space="1" w:color="auto"/>
        </w:pBdr>
        <w:jc w:val="both"/>
        <w:rPr>
          <w:b/>
          <w:bCs/>
          <w:lang w:val="de-AT"/>
        </w:rPr>
      </w:pPr>
      <w:r w:rsidRPr="005E4CAE">
        <w:rPr>
          <w:b/>
          <w:bCs/>
          <w:lang w:val="de-AT"/>
        </w:rPr>
        <w:t>Betrifft: Sprachspiele für den Griechischunterricht</w:t>
      </w:r>
    </w:p>
    <w:p w14:paraId="0B5A348C" w14:textId="7A2CF90A" w:rsidR="005E4CAE" w:rsidRDefault="005E4CAE" w:rsidP="00D810DE">
      <w:pPr>
        <w:jc w:val="right"/>
        <w:rPr>
          <w:lang w:val="de-AT"/>
        </w:rPr>
      </w:pPr>
      <w:r>
        <w:rPr>
          <w:lang w:val="de-AT"/>
        </w:rPr>
        <w:t xml:space="preserve">Graz, am </w:t>
      </w:r>
      <w:r w:rsidRPr="00D810DE">
        <w:rPr>
          <w:highlight w:val="yellow"/>
          <w:lang w:val="de-AT"/>
        </w:rPr>
        <w:t>………………………….</w:t>
      </w:r>
    </w:p>
    <w:p w14:paraId="0D86EF05" w14:textId="6D7DBA1F" w:rsidR="00592C0F" w:rsidRDefault="00AD5844" w:rsidP="00D810DE">
      <w:pPr>
        <w:jc w:val="both"/>
        <w:rPr>
          <w:lang w:val="de-AT"/>
        </w:rPr>
      </w:pPr>
      <w:r w:rsidRPr="00AD5844">
        <w:rPr>
          <w:lang w:val="de-AT"/>
        </w:rPr>
        <w:t>Sehr geehrte</w:t>
      </w:r>
      <w:r w:rsidR="00592C0F">
        <w:rPr>
          <w:lang w:val="de-AT"/>
        </w:rPr>
        <w:t>s Verlagsteam,</w:t>
      </w:r>
    </w:p>
    <w:p w14:paraId="2907F2BC" w14:textId="09EF2735" w:rsidR="005F133A" w:rsidRDefault="00592C0F" w:rsidP="00D810DE">
      <w:pPr>
        <w:jc w:val="both"/>
        <w:rPr>
          <w:lang w:val="de-AT"/>
        </w:rPr>
      </w:pPr>
      <w:r>
        <w:rPr>
          <w:lang w:val="de-AT"/>
        </w:rPr>
        <w:t xml:space="preserve">Das Erlernen des Neugriechischen ist sowohl für Urlauber, wie auch für Migranten und Migrantinnen eine große Herausforderung. Leider gibt es relativ wenig Unterrichtsmaterial und kaum Übungsmaterial für die Fertigkeit „Sprechen“. Die vorhandenen Lehrbücher des Neugriechischen präsentieren zwar den notwendigen Wortschatz und die sprachlichen Strukturen; für die Phase des Einübens ist jedoch meist viel zu wenig Übungsmaterial vorhanden. Diese Lücke wollten wir schließen und haben 20 Sprachspiele für den Griechischunterricht entwickelt, die Lernenden auf dem Niveau A1 – A2 dabei helfen sollen, ihre kommunikativen Kompetenzen aufzubauen. </w:t>
      </w:r>
      <w:r w:rsidR="005F133A" w:rsidRPr="005F133A">
        <w:rPr>
          <w:lang w:val="de-AT"/>
        </w:rPr>
        <w:t xml:space="preserve">Unsere Sammlung </w:t>
      </w:r>
      <w:proofErr w:type="spellStart"/>
      <w:r w:rsidR="005F133A" w:rsidRPr="005F133A">
        <w:rPr>
          <w:b/>
          <w:bCs/>
          <w:i/>
          <w:iCs/>
        </w:rPr>
        <w:t>Μιλάμε</w:t>
      </w:r>
      <w:proofErr w:type="spellEnd"/>
      <w:r w:rsidR="005F133A" w:rsidRPr="005F133A">
        <w:rPr>
          <w:b/>
          <w:bCs/>
          <w:i/>
          <w:iCs/>
          <w:lang w:val="de-AT"/>
        </w:rPr>
        <w:t xml:space="preserve"> </w:t>
      </w:r>
      <w:r w:rsidR="005F133A" w:rsidRPr="005F133A">
        <w:rPr>
          <w:lang w:val="de-AT"/>
        </w:rPr>
        <w:t>ersetzt kein Lehrbuch, sondern soll als Zusatzmaterial zu den neuen, am GERS orientierten Lehrwerken Verwendung finden.</w:t>
      </w:r>
      <w:r w:rsidR="005F133A">
        <w:rPr>
          <w:lang w:val="de-AT"/>
        </w:rPr>
        <w:t xml:space="preserve"> </w:t>
      </w:r>
      <w:r w:rsidR="00AD5844" w:rsidRPr="00AD5844">
        <w:rPr>
          <w:lang w:val="de-AT"/>
        </w:rPr>
        <w:t xml:space="preserve">Alle Spiele wurden mehrfach in den Sprachkursen von Frau </w:t>
      </w:r>
      <w:r w:rsidR="005F133A">
        <w:rPr>
          <w:lang w:val="de-AT"/>
        </w:rPr>
        <w:t xml:space="preserve">Margarita </w:t>
      </w:r>
      <w:r w:rsidR="00AD5844" w:rsidRPr="00AD5844">
        <w:rPr>
          <w:lang w:val="de-AT"/>
        </w:rPr>
        <w:t xml:space="preserve">Kastanara-Baumgartner </w:t>
      </w:r>
      <w:r w:rsidR="005F133A">
        <w:rPr>
          <w:lang w:val="de-AT"/>
        </w:rPr>
        <w:t xml:space="preserve">und Frau Eva Kastanara </w:t>
      </w:r>
      <w:r w:rsidR="00AD5844" w:rsidRPr="00AD5844">
        <w:rPr>
          <w:lang w:val="de-AT"/>
        </w:rPr>
        <w:t xml:space="preserve">erprobt und wurden von den </w:t>
      </w:r>
      <w:r w:rsidR="005E4CAE">
        <w:rPr>
          <w:lang w:val="de-AT"/>
        </w:rPr>
        <w:t>Lernenden</w:t>
      </w:r>
      <w:r w:rsidR="00AD5844" w:rsidRPr="00AD5844">
        <w:rPr>
          <w:lang w:val="de-AT"/>
        </w:rPr>
        <w:t xml:space="preserve"> sehr gut angenommen und geschätzt.</w:t>
      </w:r>
    </w:p>
    <w:p w14:paraId="3485F1DD" w14:textId="080C5391" w:rsidR="005F133A" w:rsidRDefault="00E06091" w:rsidP="00D810DE">
      <w:pPr>
        <w:jc w:val="both"/>
        <w:rPr>
          <w:lang w:val="de-AT"/>
        </w:rPr>
      </w:pPr>
      <w:proofErr w:type="spellStart"/>
      <w:r w:rsidRPr="00E06091">
        <w:rPr>
          <w:b/>
          <w:bCs/>
          <w:i/>
          <w:iCs/>
        </w:rPr>
        <w:t>Μιλάμε</w:t>
      </w:r>
      <w:proofErr w:type="spellEnd"/>
      <w:r w:rsidRPr="00E06091">
        <w:rPr>
          <w:b/>
          <w:bCs/>
          <w:i/>
          <w:iCs/>
          <w:lang w:val="de-AT"/>
        </w:rPr>
        <w:t xml:space="preserve"> </w:t>
      </w:r>
      <w:r w:rsidRPr="00E06091">
        <w:rPr>
          <w:lang w:val="de-AT"/>
        </w:rPr>
        <w:t>beginnt mit einem Vorwort, das die neuen Erkenntnisse der Sprachlehrforschung für Laien verständlich zusammenfasst. Darauf folgen 20 Sprachspiele zu gängigen Themen der Niveaustufen A1 und A2 des GERS. Zu jedem Spiel haben wir einen ausführlichen Lehrerkommentar geschrieben, der Kursleiter</w:t>
      </w:r>
      <w:r w:rsidR="005E4CAE">
        <w:rPr>
          <w:lang w:val="de-AT"/>
        </w:rPr>
        <w:t>n und Kursleiterinnen</w:t>
      </w:r>
      <w:r w:rsidRPr="00E06091">
        <w:rPr>
          <w:lang w:val="de-AT"/>
        </w:rPr>
        <w:t xml:space="preserve"> dabei helfen soll, die Materialien möglichst gewinnbringend einzusetzen.</w:t>
      </w:r>
      <w:r w:rsidRPr="00E06091">
        <w:rPr>
          <w:lang w:val="de-AT"/>
        </w:rPr>
        <w:br/>
      </w:r>
      <w:r w:rsidRPr="00E06091">
        <w:rPr>
          <w:lang w:val="de-AT"/>
        </w:rPr>
        <w:br/>
      </w:r>
      <w:r>
        <w:rPr>
          <w:lang w:val="de-AT"/>
        </w:rPr>
        <w:t xml:space="preserve">Wir haben die Sammlung </w:t>
      </w:r>
      <w:proofErr w:type="spellStart"/>
      <w:r w:rsidRPr="00E06091">
        <w:rPr>
          <w:b/>
          <w:bCs/>
          <w:i/>
          <w:iCs/>
        </w:rPr>
        <w:t>Μιλάμε</w:t>
      </w:r>
      <w:proofErr w:type="spellEnd"/>
      <w:r w:rsidRPr="00E06091">
        <w:rPr>
          <w:b/>
          <w:bCs/>
          <w:i/>
          <w:iCs/>
          <w:lang w:val="de-AT"/>
        </w:rPr>
        <w:t xml:space="preserve"> </w:t>
      </w:r>
      <w:r w:rsidRPr="00E06091">
        <w:rPr>
          <w:lang w:val="de-AT"/>
        </w:rPr>
        <w:t>in zwei Versionen erstellt: E</w:t>
      </w:r>
      <w:r>
        <w:rPr>
          <w:lang w:val="de-AT"/>
        </w:rPr>
        <w:t>ine Version richtet sich an deutschsprachige Lernende, die Griechisch für den Urlaub erlernen wollen. Die theoretische Einleitung und die erklärenden Spielanweisungen in dieser Version sind auf deutsch geschrieben. Dies soll es auch den Lernenden ermöglichen, die theoretischen Überlegungen zu verstehen.</w:t>
      </w:r>
    </w:p>
    <w:p w14:paraId="7431A3FA" w14:textId="4F1FCDF5" w:rsidR="00E06091" w:rsidRPr="00E06091" w:rsidRDefault="00E06091" w:rsidP="00D810DE">
      <w:pPr>
        <w:jc w:val="both"/>
        <w:rPr>
          <w:lang w:val="de-AT"/>
        </w:rPr>
      </w:pPr>
      <w:r>
        <w:rPr>
          <w:lang w:val="de-AT"/>
        </w:rPr>
        <w:t>Für den Einsatz in anderen Settings (zum Beispiel für den Unterricht vonMigranten und Migrantinnen in Griechenland, oder für Sprachkurse im internationalen Raum) haben wir eine griechische Version erstellt, in der auch die theoretischen Überlegungen und der Lehrerkommentar auf griechisch übersetzt wurden.</w:t>
      </w:r>
    </w:p>
    <w:p w14:paraId="7128126D" w14:textId="77777777" w:rsidR="00E06091" w:rsidRPr="00E06091" w:rsidRDefault="00E06091" w:rsidP="00D810DE">
      <w:pPr>
        <w:jc w:val="both"/>
        <w:rPr>
          <w:b/>
          <w:bCs/>
          <w:lang w:val="de-AT"/>
        </w:rPr>
      </w:pPr>
      <w:r w:rsidRPr="00E06091">
        <w:rPr>
          <w:b/>
          <w:bCs/>
          <w:lang w:val="de-AT"/>
        </w:rPr>
        <w:t>Zu den Autorinnen:</w:t>
      </w:r>
    </w:p>
    <w:p w14:paraId="2424E1EF" w14:textId="20AC6D47" w:rsidR="00E06091" w:rsidRDefault="00AC3DED" w:rsidP="00D810DE">
      <w:pPr>
        <w:jc w:val="both"/>
        <w:rPr>
          <w:lang w:val="de-AT"/>
        </w:rPr>
      </w:pPr>
      <w:r>
        <w:rPr>
          <w:lang w:val="de-AT"/>
        </w:rPr>
        <w:t xml:space="preserve">Dr. </w:t>
      </w:r>
      <w:r w:rsidR="00E06091" w:rsidRPr="00E06091">
        <w:rPr>
          <w:lang w:val="de-AT"/>
        </w:rPr>
        <w:t>Elisabeth P</w:t>
      </w:r>
      <w:r>
        <w:rPr>
          <w:lang w:val="de-AT"/>
        </w:rPr>
        <w:t>oe</w:t>
      </w:r>
      <w:r w:rsidR="00E06091" w:rsidRPr="00E06091">
        <w:rPr>
          <w:lang w:val="de-AT"/>
        </w:rPr>
        <w:t xml:space="preserve">lzleitner </w:t>
      </w:r>
      <w:r w:rsidR="00E06091">
        <w:rPr>
          <w:lang w:val="de-AT"/>
        </w:rPr>
        <w:t xml:space="preserve">ist Expertin für Fremdsprachendidaktik. Sie </w:t>
      </w:r>
      <w:r w:rsidR="00E06091" w:rsidRPr="00E06091">
        <w:rPr>
          <w:lang w:val="de-AT"/>
        </w:rPr>
        <w:t>lehrt Englische Fachdidaktik an der Universität Graz sowie an der P</w:t>
      </w:r>
      <w:r>
        <w:rPr>
          <w:lang w:val="de-AT"/>
        </w:rPr>
        <w:t>ae</w:t>
      </w:r>
      <w:r w:rsidR="00E06091" w:rsidRPr="00E06091">
        <w:rPr>
          <w:lang w:val="de-AT"/>
        </w:rPr>
        <w:t xml:space="preserve">dagogischen Hochschule Steiermark. Weiters unterrichtet sie Englisch in der Sekundarstufe und hält regelmäßig Seminare zum Thema Didaktik des </w:t>
      </w:r>
      <w:r w:rsidR="00E06091" w:rsidRPr="00E06091">
        <w:rPr>
          <w:lang w:val="de-AT"/>
        </w:rPr>
        <w:lastRenderedPageBreak/>
        <w:t>Fremdsprachenlernens. Frau P</w:t>
      </w:r>
      <w:r>
        <w:rPr>
          <w:lang w:val="de-AT"/>
        </w:rPr>
        <w:t>oe</w:t>
      </w:r>
      <w:r w:rsidR="00E06091" w:rsidRPr="00E06091">
        <w:rPr>
          <w:lang w:val="de-AT"/>
        </w:rPr>
        <w:t xml:space="preserve">lzeitner </w:t>
      </w:r>
      <w:r w:rsidR="005E4CAE">
        <w:rPr>
          <w:lang w:val="de-AT"/>
        </w:rPr>
        <w:t xml:space="preserve">liebt Griechenland und </w:t>
      </w:r>
      <w:r w:rsidR="00E06091" w:rsidRPr="00E06091">
        <w:rPr>
          <w:lang w:val="de-AT"/>
        </w:rPr>
        <w:t xml:space="preserve">versucht seit mehreren Jahren selbst </w:t>
      </w:r>
      <w:r w:rsidR="005E4CAE">
        <w:rPr>
          <w:lang w:val="de-AT"/>
        </w:rPr>
        <w:t xml:space="preserve">gut </w:t>
      </w:r>
      <w:r w:rsidR="00E06091" w:rsidRPr="00E06091">
        <w:rPr>
          <w:lang w:val="de-AT"/>
        </w:rPr>
        <w:t>Griechisch zu lernen</w:t>
      </w:r>
      <w:r w:rsidR="005E4CAE">
        <w:rPr>
          <w:lang w:val="de-AT"/>
        </w:rPr>
        <w:t xml:space="preserve">. Dabei hat sie </w:t>
      </w:r>
      <w:r w:rsidR="00E06091" w:rsidRPr="00E06091">
        <w:rPr>
          <w:lang w:val="de-AT"/>
        </w:rPr>
        <w:t>erlebt, dass die meisten muttersprachlichen Kursleiter keinerlei Kenntnisse der modernen Sprachlehrmethoden haben und es leider auch kaum unterstützende Materialien für diese Zielgruppe gibt. Aus diesem Grund haben wir sozusagen zur Selbsthilfe gegriffen und versucht, diese Lücke zu schließen.</w:t>
      </w:r>
      <w:r w:rsidR="00E06091" w:rsidRPr="00E06091">
        <w:rPr>
          <w:lang w:val="de-AT"/>
        </w:rPr>
        <w:br/>
      </w:r>
      <w:r w:rsidR="00AD5844" w:rsidRPr="00AD5844">
        <w:rPr>
          <w:lang w:val="de-AT"/>
        </w:rPr>
        <w:t>Frau Margarita Kastanara-Baumgartner ist Griechin und hat in Thessaloniki Psychologie studiert. Sie arbeitet derzeit im Bereich "Integration und Multikulturalität" in Graz und gibt seit mehreren Jahren Sprachunterricht in der Erwachsenenbildung (Urania, Volkshochschule sowie bei Treffpunkt Sprachen an der Universität Graz).</w:t>
      </w:r>
      <w:r w:rsidR="005F133A" w:rsidRPr="005F133A">
        <w:rPr>
          <w:lang w:val="de-AT"/>
        </w:rPr>
        <w:t xml:space="preserve"> </w:t>
      </w:r>
      <w:r w:rsidR="005F133A" w:rsidRPr="005F133A">
        <w:rPr>
          <w:lang w:val="de-AT"/>
        </w:rPr>
        <w:t>Als Psychologin interessierte sich Frau Kastanara-Baumgartner von Beginn für die neuesten Erkenntnisse der Sprachlehrforschung und war somit eine ideale Partnerin für dieses Projekt.</w:t>
      </w:r>
      <w:r w:rsidR="005F133A" w:rsidRPr="005F133A">
        <w:rPr>
          <w:lang w:val="de-AT"/>
        </w:rPr>
        <w:br/>
      </w:r>
      <w:r w:rsidR="005F133A">
        <w:rPr>
          <w:lang w:val="de-AT"/>
        </w:rPr>
        <w:t xml:space="preserve">Frau Eva Kastanara ist Griechin und hat in Thessaloniki Jus studiert. Sie arbeitet derzeit im Bereich Flüchtlingsbetreuung in Graz und gibt seit mehreren Jahren </w:t>
      </w:r>
      <w:r w:rsidR="00E06091">
        <w:rPr>
          <w:lang w:val="de-AT"/>
        </w:rPr>
        <w:t xml:space="preserve">sehr erfolgreich </w:t>
      </w:r>
      <w:r w:rsidR="005F133A">
        <w:rPr>
          <w:lang w:val="de-AT"/>
        </w:rPr>
        <w:t>Sprachunterricht in der Erwachsenenbildung</w:t>
      </w:r>
      <w:r w:rsidR="00E06091">
        <w:rPr>
          <w:lang w:val="de-AT"/>
        </w:rPr>
        <w:t>. Frau Eva Kastanara hat die theoretische Einleitung und alle Spielanleitungen ins Griechische übertragen.</w:t>
      </w:r>
    </w:p>
    <w:p w14:paraId="01BA046F" w14:textId="11E8F691" w:rsidR="00AC3DED" w:rsidRDefault="00AC3DED" w:rsidP="00D810DE">
      <w:pPr>
        <w:jc w:val="both"/>
        <w:rPr>
          <w:lang w:val="de-AT"/>
        </w:rPr>
      </w:pPr>
      <w:r>
        <w:rPr>
          <w:lang w:val="de-AT"/>
        </w:rPr>
        <w:t xml:space="preserve">Wir glauben, dass unsere Sammlung </w:t>
      </w:r>
      <w:proofErr w:type="spellStart"/>
      <w:r w:rsidRPr="00AC3DED">
        <w:rPr>
          <w:b/>
          <w:bCs/>
          <w:i/>
          <w:iCs/>
        </w:rPr>
        <w:t>Μιλάμε</w:t>
      </w:r>
      <w:proofErr w:type="spellEnd"/>
      <w:r w:rsidRPr="00AC3DED">
        <w:rPr>
          <w:lang w:val="de-AT"/>
        </w:rPr>
        <w:t xml:space="preserve"> </w:t>
      </w:r>
      <w:r>
        <w:rPr>
          <w:lang w:val="de-AT"/>
        </w:rPr>
        <w:t>ideal in das Programm Ihres Verlages passen würde, und eine</w:t>
      </w:r>
      <w:r w:rsidR="005E4CAE">
        <w:rPr>
          <w:lang w:val="de-AT"/>
        </w:rPr>
        <w:t>n</w:t>
      </w:r>
      <w:r>
        <w:rPr>
          <w:lang w:val="de-AT"/>
        </w:rPr>
        <w:t xml:space="preserve"> wichtigen Beitrag zur Verbreitung des Neugriechischen leisten kann.</w:t>
      </w:r>
    </w:p>
    <w:p w14:paraId="5360FE6A" w14:textId="1D8947C9" w:rsidR="00AC3DED" w:rsidRDefault="00AC3DED" w:rsidP="00D810DE">
      <w:pPr>
        <w:jc w:val="both"/>
        <w:rPr>
          <w:lang w:val="de-AT"/>
        </w:rPr>
      </w:pPr>
      <w:r>
        <w:rPr>
          <w:lang w:val="de-AT"/>
        </w:rPr>
        <w:t>Wir</w:t>
      </w:r>
      <w:r w:rsidR="00AD5844" w:rsidRPr="00AD5844">
        <w:rPr>
          <w:lang w:val="de-AT"/>
        </w:rPr>
        <w:t xml:space="preserve"> sende</w:t>
      </w:r>
      <w:r>
        <w:rPr>
          <w:lang w:val="de-AT"/>
        </w:rPr>
        <w:t>n</w:t>
      </w:r>
      <w:r w:rsidR="00AD5844" w:rsidRPr="00AD5844">
        <w:rPr>
          <w:lang w:val="de-AT"/>
        </w:rPr>
        <w:t xml:space="preserve"> Ihnen im Anhang eine pdf Version von </w:t>
      </w:r>
      <w:proofErr w:type="spellStart"/>
      <w:r w:rsidR="00AD5844">
        <w:rPr>
          <w:b/>
          <w:bCs/>
          <w:i/>
          <w:iCs/>
        </w:rPr>
        <w:t>Μιλάμε</w:t>
      </w:r>
      <w:proofErr w:type="spellEnd"/>
      <w:r w:rsidR="00AD5844" w:rsidRPr="00AD5844">
        <w:rPr>
          <w:b/>
          <w:bCs/>
          <w:i/>
          <w:iCs/>
          <w:lang w:val="de-AT"/>
        </w:rPr>
        <w:t xml:space="preserve">, </w:t>
      </w:r>
      <w:r w:rsidR="00AD5844" w:rsidRPr="00AD5844">
        <w:rPr>
          <w:lang w:val="de-AT"/>
        </w:rPr>
        <w:t xml:space="preserve">sodass Sie unsere Materialien  kennenlernen können. </w:t>
      </w:r>
    </w:p>
    <w:p w14:paraId="5DCC0CD3" w14:textId="77777777" w:rsidR="00C1280E" w:rsidRDefault="00AD5844" w:rsidP="00D810DE">
      <w:pPr>
        <w:jc w:val="both"/>
        <w:rPr>
          <w:lang w:val="de-AT"/>
        </w:rPr>
      </w:pPr>
      <w:r w:rsidRPr="00AD5844">
        <w:rPr>
          <w:lang w:val="de-AT"/>
        </w:rPr>
        <w:t xml:space="preserve">Um praktisch einsetzbar zu sein, müsste  </w:t>
      </w:r>
      <w:proofErr w:type="spellStart"/>
      <w:r>
        <w:rPr>
          <w:b/>
          <w:bCs/>
          <w:i/>
          <w:iCs/>
        </w:rPr>
        <w:t>Μιλάμε</w:t>
      </w:r>
      <w:proofErr w:type="spellEnd"/>
      <w:r w:rsidRPr="00AD5844">
        <w:rPr>
          <w:lang w:val="de-AT"/>
        </w:rPr>
        <w:t xml:space="preserve"> am besten im A4 Format </w:t>
      </w:r>
      <w:r w:rsidR="00AC3DED">
        <w:rPr>
          <w:lang w:val="de-AT"/>
        </w:rPr>
        <w:t xml:space="preserve">zumindest </w:t>
      </w:r>
      <w:r w:rsidRPr="00AD5844">
        <w:rPr>
          <w:lang w:val="de-AT"/>
        </w:rPr>
        <w:t>im Zweifarbendruck herausgegeben werden, sodass Kursleiter die Spielkarten und Spielbretter einfach kopieren können. Noch idealer erschiene uns eine Lehrerversion, die nicht unbedingt kopierbar sein müsste, und dazu eine CD mit den druckbaren Schülermaterialien in Vollfarbe. Dies sind jedoch Details, die sicher noch genauer diskutiert werden müssten.</w:t>
      </w:r>
    </w:p>
    <w:p w14:paraId="4C817756" w14:textId="7814D35D" w:rsidR="005E4CAE" w:rsidRDefault="00AD5844" w:rsidP="00D810DE">
      <w:pPr>
        <w:jc w:val="both"/>
        <w:rPr>
          <w:lang w:val="de-AT"/>
        </w:rPr>
      </w:pPr>
      <w:bookmarkStart w:id="0" w:name="_GoBack"/>
      <w:bookmarkEnd w:id="0"/>
      <w:r w:rsidRPr="00AD5844">
        <w:rPr>
          <w:lang w:val="de-AT"/>
        </w:rPr>
        <w:br/>
        <w:t xml:space="preserve">Wir würden uns freuen, wenn Sie Interesse daran hätten, </w:t>
      </w:r>
      <w:proofErr w:type="spellStart"/>
      <w:r>
        <w:rPr>
          <w:b/>
          <w:bCs/>
          <w:i/>
          <w:iCs/>
        </w:rPr>
        <w:t>Μιλάμε</w:t>
      </w:r>
      <w:proofErr w:type="spellEnd"/>
      <w:r w:rsidRPr="00AD5844">
        <w:rPr>
          <w:b/>
          <w:bCs/>
          <w:i/>
          <w:iCs/>
          <w:lang w:val="de-AT"/>
        </w:rPr>
        <w:t xml:space="preserve"> </w:t>
      </w:r>
      <w:r w:rsidRPr="00AD5844">
        <w:rPr>
          <w:lang w:val="de-AT"/>
        </w:rPr>
        <w:t>in Ihr Programm aufzunehmen.</w:t>
      </w:r>
    </w:p>
    <w:p w14:paraId="1575108F" w14:textId="1DCBFFE0" w:rsidR="00ED236F" w:rsidRPr="00E06091" w:rsidRDefault="00AD5844" w:rsidP="00D810DE">
      <w:pPr>
        <w:jc w:val="both"/>
        <w:rPr>
          <w:lang w:val="de-AT"/>
        </w:rPr>
      </w:pPr>
      <w:r w:rsidRPr="00AD5844">
        <w:rPr>
          <w:lang w:val="de-AT"/>
        </w:rPr>
        <w:br/>
      </w:r>
      <w:r>
        <w:t>Elisabeth P</w:t>
      </w:r>
      <w:r w:rsidR="00AC3DED">
        <w:t>oe</w:t>
      </w:r>
      <w:r>
        <w:t>lzleitner</w:t>
      </w:r>
      <w:r w:rsidR="00AC3DED">
        <w:t xml:space="preserve">, </w:t>
      </w:r>
      <w:r>
        <w:t xml:space="preserve">Margarita </w:t>
      </w:r>
      <w:proofErr w:type="spellStart"/>
      <w:r>
        <w:t>Kastanara</w:t>
      </w:r>
      <w:proofErr w:type="spellEnd"/>
      <w:r>
        <w:t>-Baumgartner</w:t>
      </w:r>
      <w:r w:rsidR="00AC3DED">
        <w:t xml:space="preserve"> und Eva </w:t>
      </w:r>
      <w:proofErr w:type="spellStart"/>
      <w:r w:rsidR="00AC3DED">
        <w:t>Kastanara</w:t>
      </w:r>
      <w:proofErr w:type="spellEnd"/>
    </w:p>
    <w:sectPr w:rsidR="00ED236F" w:rsidRPr="00E06091" w:rsidSect="001E2440">
      <w:headerReference w:type="default" r:id="rId7"/>
      <w:pgSz w:w="11906" w:h="16838"/>
      <w:pgMar w:top="568" w:right="1417" w:bottom="1134" w:left="1417" w:header="655"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5656BA" w14:textId="77777777" w:rsidR="00A37060" w:rsidRDefault="00A37060" w:rsidP="00AC4BB2">
      <w:pPr>
        <w:spacing w:after="0" w:line="240" w:lineRule="auto"/>
      </w:pPr>
      <w:r>
        <w:separator/>
      </w:r>
    </w:p>
  </w:endnote>
  <w:endnote w:type="continuationSeparator" w:id="0">
    <w:p w14:paraId="7FF3935C" w14:textId="77777777" w:rsidR="00A37060" w:rsidRDefault="00A37060" w:rsidP="00AC4B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B39ECD" w14:textId="77777777" w:rsidR="00A37060" w:rsidRDefault="00A37060" w:rsidP="00AC4BB2">
      <w:pPr>
        <w:spacing w:after="0" w:line="240" w:lineRule="auto"/>
      </w:pPr>
      <w:r>
        <w:separator/>
      </w:r>
    </w:p>
  </w:footnote>
  <w:footnote w:type="continuationSeparator" w:id="0">
    <w:p w14:paraId="6D9357CE" w14:textId="77777777" w:rsidR="00A37060" w:rsidRDefault="00A37060" w:rsidP="00AC4B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D66971" w14:textId="77777777" w:rsidR="00AC4BB2" w:rsidRPr="005E4CAE" w:rsidRDefault="00AC4BB2" w:rsidP="005E4CAE">
    <w:pPr>
      <w:spacing w:after="0"/>
      <w:rPr>
        <w:sz w:val="10"/>
        <w:szCs w:val="1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9"/>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D5844"/>
    <w:rsid w:val="000F4556"/>
    <w:rsid w:val="001E2440"/>
    <w:rsid w:val="00592C0F"/>
    <w:rsid w:val="005E4CAE"/>
    <w:rsid w:val="005F133A"/>
    <w:rsid w:val="008E64DE"/>
    <w:rsid w:val="00A37060"/>
    <w:rsid w:val="00AC3DED"/>
    <w:rsid w:val="00AC4BB2"/>
    <w:rsid w:val="00AD5844"/>
    <w:rsid w:val="00C1280E"/>
    <w:rsid w:val="00D810DE"/>
    <w:rsid w:val="00E06091"/>
    <w:rsid w:val="00ED236F"/>
    <w:rsid w:val="00F370AE"/>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1C467D"/>
  <w15:docId w15:val="{51618CE0-5849-49A9-98D9-B81AAF703A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C4B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C4BB2"/>
    <w:rPr>
      <w:lang w:val="en-US"/>
    </w:rPr>
  </w:style>
  <w:style w:type="paragraph" w:styleId="Footer">
    <w:name w:val="footer"/>
    <w:basedOn w:val="Normal"/>
    <w:link w:val="FooterChar"/>
    <w:uiPriority w:val="99"/>
    <w:unhideWhenUsed/>
    <w:rsid w:val="00AC4B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4BB2"/>
    <w:rPr>
      <w:lang w:val="en-US"/>
    </w:rPr>
  </w:style>
  <w:style w:type="table" w:styleId="TableGrid">
    <w:name w:val="Table Grid"/>
    <w:basedOn w:val="TableNormal"/>
    <w:uiPriority w:val="59"/>
    <w:unhideWhenUsed/>
    <w:rsid w:val="00AC4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2-Accent1">
    <w:name w:val="Grid Table 2 Accent 1"/>
    <w:basedOn w:val="TableNormal"/>
    <w:uiPriority w:val="47"/>
    <w:rsid w:val="005E4CAE"/>
    <w:pPr>
      <w:spacing w:after="0" w:line="240" w:lineRule="auto"/>
    </w:p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ListParagraph">
    <w:name w:val="List Paragraph"/>
    <w:basedOn w:val="Normal"/>
    <w:uiPriority w:val="34"/>
    <w:qFormat/>
    <w:rsid w:val="005E4CAE"/>
    <w:pPr>
      <w:ind w:left="720"/>
      <w:contextualSpacing/>
    </w:pPr>
  </w:style>
  <w:style w:type="table" w:styleId="GridTable4-Accent1">
    <w:name w:val="Grid Table 4 Accent 1"/>
    <w:basedOn w:val="TableNormal"/>
    <w:uiPriority w:val="49"/>
    <w:rsid w:val="005E4CAE"/>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2</Pages>
  <Words>709</Words>
  <Characters>4047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lp</dc:creator>
  <cp:lastModifiedBy>Lis Poelzleitner</cp:lastModifiedBy>
  <cp:revision>6</cp:revision>
  <dcterms:created xsi:type="dcterms:W3CDTF">2019-06-11T08:37:00Z</dcterms:created>
  <dcterms:modified xsi:type="dcterms:W3CDTF">2019-06-11T09:02:00Z</dcterms:modified>
</cp:coreProperties>
</file>