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C0CA2" w14:textId="77777777" w:rsidR="00A72475" w:rsidRPr="00BE4B55" w:rsidRDefault="00A72475" w:rsidP="00A72475">
      <w:pPr>
        <w:pStyle w:val="Heading1"/>
      </w:pPr>
      <w:bookmarkStart w:id="0" w:name="_Toc473388361"/>
      <w:bookmarkStart w:id="1" w:name="_Toc494559452"/>
      <w:r w:rsidRPr="00BE4B55">
        <w:t xml:space="preserve">Quick Check </w:t>
      </w:r>
      <w:r w:rsidRPr="00CB2E23">
        <w:t>Grammar</w:t>
      </w:r>
      <w:r w:rsidRPr="00BE4B55">
        <w:t xml:space="preserve"> Chart</w:t>
      </w:r>
      <w:bookmarkEnd w:id="0"/>
      <w:bookmarkEnd w:id="1"/>
    </w:p>
    <w:tbl>
      <w:tblPr>
        <w:tblStyle w:val="TableGrid"/>
        <w:tblW w:w="110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630"/>
        <w:gridCol w:w="3751"/>
        <w:gridCol w:w="459"/>
        <w:gridCol w:w="460"/>
        <w:gridCol w:w="460"/>
        <w:gridCol w:w="450"/>
        <w:gridCol w:w="4830"/>
      </w:tblGrid>
      <w:tr w:rsidR="00A72475" w:rsidRPr="00BE4B55" w14:paraId="3181752B" w14:textId="77777777" w:rsidTr="000D4033">
        <w:tc>
          <w:tcPr>
            <w:tcW w:w="630" w:type="dxa"/>
            <w:shd w:val="clear" w:color="auto" w:fill="2F5496" w:themeFill="accent1" w:themeFillShade="BF"/>
            <w:vAlign w:val="center"/>
          </w:tcPr>
          <w:p w14:paraId="39FD7952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  <w:vAlign w:val="center"/>
          </w:tcPr>
          <w:p w14:paraId="4C2409CB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Quick Check Grammar Chart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1D9883C5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BE4B55">
              <w:rPr>
                <w:rFonts w:ascii="Times New Roman" w:hAnsi="Times New Roman" w:cs="Times New Roman"/>
                <w:b/>
                <w:sz w:val="52"/>
              </w:rPr>
              <w:t>-</w:t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7F03D9EE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36"/>
              </w:rPr>
              <w:sym w:font="Wingdings" w:char="F0FC"/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1CC7699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  <w:r w:rsidRPr="00BE4B55">
              <w:rPr>
                <w:rFonts w:ascii="Times New Roman" w:hAnsi="Times New Roman" w:cs="Times New Roman"/>
                <w:b/>
                <w:sz w:val="44"/>
              </w:rPr>
              <w:t>+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E9E3B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4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  <w:shd w:val="clear" w:color="auto" w:fill="FFC000" w:themeFill="accent4"/>
          </w:tcPr>
          <w:p w14:paraId="7C38FE51" w14:textId="77777777" w:rsidR="00A72475" w:rsidRPr="00BE4B55" w:rsidRDefault="00A72475" w:rsidP="00A72475">
            <w:pPr>
              <w:spacing w:after="0" w:line="240" w:lineRule="auto"/>
              <w:ind w:left="142" w:right="487"/>
              <w:rPr>
                <w:rFonts w:ascii="Times New Roman" w:hAnsi="Times New Roman" w:cs="Times New Roman"/>
                <w:b/>
                <w:sz w:val="44"/>
                <w:lang w:val="en-US"/>
              </w:rPr>
            </w:pPr>
          </w:p>
        </w:tc>
      </w:tr>
      <w:tr w:rsidR="00A72475" w:rsidRPr="00BE4B55" w14:paraId="6B896C79" w14:textId="77777777" w:rsidTr="000D4033">
        <w:trPr>
          <w:cantSplit/>
          <w:trHeight w:val="720"/>
        </w:trPr>
        <w:tc>
          <w:tcPr>
            <w:tcW w:w="630" w:type="dxa"/>
            <w:vMerge w:val="restart"/>
            <w:shd w:val="clear" w:color="auto" w:fill="2F5496" w:themeFill="accent1" w:themeFillShade="BF"/>
            <w:textDirection w:val="btLr"/>
            <w:vAlign w:val="center"/>
          </w:tcPr>
          <w:p w14:paraId="4E78C351" w14:textId="77777777" w:rsidR="00A72475" w:rsidRPr="00BE4B55" w:rsidRDefault="00A72475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Learning   Stages</w:t>
            </w:r>
          </w:p>
        </w:tc>
        <w:tc>
          <w:tcPr>
            <w:tcW w:w="3751" w:type="dxa"/>
            <w:shd w:val="clear" w:color="auto" w:fill="D9E2F3" w:themeFill="accent1" w:themeFillTint="33"/>
            <w:vAlign w:val="center"/>
          </w:tcPr>
          <w:p w14:paraId="09E9EC5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B55">
              <w:rPr>
                <w:rFonts w:ascii="Times New Roman" w:hAnsi="Times New Roman" w:cs="Times New Roman"/>
                <w:b/>
              </w:rPr>
              <w:t>Awareness raising</w:t>
            </w:r>
          </w:p>
        </w:tc>
        <w:tc>
          <w:tcPr>
            <w:tcW w:w="459" w:type="dxa"/>
          </w:tcPr>
          <w:p w14:paraId="6E1BBCD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929312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7C50122A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D5C367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30" w:type="dxa"/>
            <w:vMerge w:val="restart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1B620DB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Present and practice new grammar in realistic, authentic, contexts that are close to the learners’ experiences.</w:t>
            </w:r>
          </w:p>
          <w:p w14:paraId="7317549C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Give your learners time to make their own hypotheses and find rules inductively.</w:t>
            </w:r>
          </w:p>
          <w:p w14:paraId="6115E9F8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Support the construction of new grammatical concepts (notions) in the learners’ minds through scaffolded (guided) activities where meaning and form connections can be made by the learners.</w:t>
            </w:r>
          </w:p>
          <w:p w14:paraId="20BDAE54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Focus on one new concept (notion) at a time or contrast a new concept with one that your learners have already mastered. Do NOT confuse learners by mixing several new concepts and sending them into grammatical minefields.</w:t>
            </w:r>
          </w:p>
          <w:p w14:paraId="27D5A130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Create personalized exercises and activities in which the learners can associate new grammatical concepts and forms with experiences in their (episodic) memory. </w:t>
            </w:r>
          </w:p>
          <w:p w14:paraId="49956BA7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Offer open-ended tasks that require the search for meaning. They lead to more brain activity and more depth of processing.</w:t>
            </w:r>
          </w:p>
          <w:p w14:paraId="044FCEDF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Offer grammar tasks that involve several senses (speaking, listening, gestures, images…)</w:t>
            </w:r>
          </w:p>
          <w:p w14:paraId="04BFF564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Use tasks that lead to authentic cognitive processing. e.g.: search for meanings rather than forms. Ask yourself: would anybody do this outside a language classroom?</w:t>
            </w:r>
          </w:p>
          <w:p w14:paraId="5335AF87" w14:textId="77777777" w:rsidR="00A72475" w:rsidRPr="00BE4B55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Organize group activities. These lead to higher engagement and more “chemical support” of the limbic system. </w:t>
            </w:r>
          </w:p>
          <w:p w14:paraId="4D9BC2B5" w14:textId="77777777" w:rsidR="00A72475" w:rsidRPr="00BB18AF" w:rsidRDefault="00A72475" w:rsidP="00A72475">
            <w:pPr>
              <w:pStyle w:val="ListParagraph"/>
              <w:numPr>
                <w:ilvl w:val="0"/>
                <w:numId w:val="1"/>
              </w:numPr>
              <w:spacing w:before="240" w:line="240" w:lineRule="auto"/>
              <w:ind w:right="484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Consider your learners’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affective needs: sense of achievement, fun, relevance. These will strongly influence learning</w:t>
            </w:r>
            <w:r w:rsidRPr="00BB18AF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72475" w:rsidRPr="00BE4B55" w14:paraId="14C48096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12134C2E" w14:textId="77777777" w:rsidR="00A72475" w:rsidRPr="00BB18AF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B4C6E7" w:themeFill="accent1" w:themeFillTint="66"/>
            <w:vAlign w:val="center"/>
          </w:tcPr>
          <w:p w14:paraId="095E3BAF" w14:textId="637DB5D8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Conceptualization and h</w:t>
            </w:r>
            <w:r w:rsidR="008D34C1">
              <w:rPr>
                <w:rFonts w:ascii="Times New Roman" w:hAnsi="Times New Roman" w:cs="Times New Roman"/>
                <w:b/>
              </w:rPr>
              <w:t>y</w:t>
            </w:r>
            <w:r w:rsidRPr="00BE4B55">
              <w:rPr>
                <w:rFonts w:ascii="Times New Roman" w:hAnsi="Times New Roman" w:cs="Times New Roman"/>
                <w:b/>
              </w:rPr>
              <w:t>pothesis building</w:t>
            </w:r>
          </w:p>
        </w:tc>
        <w:tc>
          <w:tcPr>
            <w:tcW w:w="459" w:type="dxa"/>
          </w:tcPr>
          <w:p w14:paraId="7F245A2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30A453A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2B2914E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33AA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16BE11F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2475" w:rsidRPr="00BE4B55" w14:paraId="248C65D4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5185A90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8EAADB" w:themeFill="accent1" w:themeFillTint="99"/>
            <w:vAlign w:val="center"/>
          </w:tcPr>
          <w:p w14:paraId="0FB21D4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4B55">
              <w:rPr>
                <w:rFonts w:ascii="Times New Roman" w:hAnsi="Times New Roman" w:cs="Times New Roman"/>
                <w:b/>
              </w:rPr>
              <w:t>Proceduralization in scaffolded conditions</w:t>
            </w:r>
          </w:p>
        </w:tc>
        <w:tc>
          <w:tcPr>
            <w:tcW w:w="459" w:type="dxa"/>
          </w:tcPr>
          <w:p w14:paraId="3F1AEFC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076EB4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CFE97D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E3C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05B8FB4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2475" w:rsidRPr="00BE4B55" w14:paraId="4F91BF6F" w14:textId="77777777" w:rsidTr="000D4033">
        <w:trPr>
          <w:cantSplit/>
          <w:trHeight w:val="720"/>
        </w:trPr>
        <w:tc>
          <w:tcPr>
            <w:tcW w:w="630" w:type="dxa"/>
            <w:vMerge/>
            <w:shd w:val="clear" w:color="auto" w:fill="2F5496" w:themeFill="accent1" w:themeFillShade="BF"/>
          </w:tcPr>
          <w:p w14:paraId="392B2EB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  <w:shd w:val="clear" w:color="auto" w:fill="4472C4" w:themeFill="accent1"/>
            <w:vAlign w:val="center"/>
          </w:tcPr>
          <w:p w14:paraId="48ACCF6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Performance in real-time context</w:t>
            </w:r>
          </w:p>
        </w:tc>
        <w:tc>
          <w:tcPr>
            <w:tcW w:w="459" w:type="dxa"/>
          </w:tcPr>
          <w:p w14:paraId="289D1B2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E27694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8FDC46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4321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0E3005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4D2F2A78" w14:textId="77777777" w:rsidTr="000D4033">
        <w:trPr>
          <w:cantSplit/>
          <w:trHeight w:val="1008"/>
        </w:trPr>
        <w:tc>
          <w:tcPr>
            <w:tcW w:w="630" w:type="dxa"/>
            <w:vMerge w:val="restart"/>
            <w:shd w:val="clear" w:color="auto" w:fill="ED7D31" w:themeFill="accent2"/>
            <w:textDirection w:val="btLr"/>
            <w:vAlign w:val="center"/>
          </w:tcPr>
          <w:p w14:paraId="2569E276" w14:textId="77777777" w:rsidR="00A72475" w:rsidRPr="00BE4B55" w:rsidRDefault="00A72475" w:rsidP="00A7247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E4B55">
              <w:rPr>
                <w:rFonts w:ascii="Times New Roman" w:hAnsi="Times New Roman" w:cs="Times New Roman"/>
                <w:b/>
                <w:sz w:val="28"/>
              </w:rPr>
              <w:t>Pedagogical   Principles   and   Communicative   Criteria</w:t>
            </w: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6A219A3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Depth of processing 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and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Complex </w:t>
            </w:r>
            <w:proofErr w:type="gramStart"/>
            <w:r w:rsidRPr="00BE4B55">
              <w:rPr>
                <w:rFonts w:ascii="Times New Roman" w:hAnsi="Times New Roman" w:cs="Times New Roman"/>
                <w:b/>
                <w:lang w:val="en-US"/>
              </w:rPr>
              <w:t>encoding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:</w:t>
            </w:r>
            <w:proofErr w:type="gramEnd"/>
            <w:r w:rsidRPr="00BE4B55">
              <w:rPr>
                <w:rFonts w:ascii="Times New Roman" w:hAnsi="Times New Roman" w:cs="Times New Roman"/>
                <w:lang w:val="en-US"/>
              </w:rPr>
              <w:t xml:space="preserve"> Will the learners be mentally active and process grammar, lexis and their “world knowledge”?</w:t>
            </w:r>
          </w:p>
        </w:tc>
        <w:tc>
          <w:tcPr>
            <w:tcW w:w="459" w:type="dxa"/>
          </w:tcPr>
          <w:p w14:paraId="2626FA0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4053305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textDirection w:val="btLr"/>
          </w:tcPr>
          <w:p w14:paraId="52726A39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A61E6C6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  <w:textDirection w:val="btLr"/>
          </w:tcPr>
          <w:p w14:paraId="68DEFA24" w14:textId="77777777" w:rsidR="00A72475" w:rsidRPr="00BE4B55" w:rsidRDefault="00A72475" w:rsidP="00A72475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</w:p>
        </w:tc>
      </w:tr>
      <w:tr w:rsidR="00A72475" w:rsidRPr="00BE4B55" w14:paraId="7DFFC3BA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257D0CF2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4966611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 xml:space="preserve">Commitment filter: </w:t>
            </w:r>
          </w:p>
          <w:p w14:paraId="77A7FD5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learners’ cognitive and affective needs be met? (e.g.: curiosity, problem solving, enjoyment, fun, success)</w:t>
            </w:r>
          </w:p>
        </w:tc>
        <w:tc>
          <w:tcPr>
            <w:tcW w:w="459" w:type="dxa"/>
          </w:tcPr>
          <w:p w14:paraId="02AE8C6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D4C51A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3E593D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6838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CD1218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718E98D6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5804C3A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49D3056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Peer and social learning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E4B55">
              <w:rPr>
                <w:rFonts w:ascii="Times New Roman" w:hAnsi="Times New Roman" w:cs="Times New Roman"/>
                <w:b/>
                <w:lang w:val="en-US"/>
              </w:rPr>
              <w:t>and interaction:</w:t>
            </w:r>
          </w:p>
          <w:p w14:paraId="3F84416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Pair – or groupwork, sharing, oral activities, jigsaw activities…</w:t>
            </w:r>
          </w:p>
        </w:tc>
        <w:tc>
          <w:tcPr>
            <w:tcW w:w="459" w:type="dxa"/>
          </w:tcPr>
          <w:p w14:paraId="4FCDCA3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4D4340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BDC5D9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1F0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095734B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374B3454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068A3EB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00946E1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B55">
              <w:rPr>
                <w:rFonts w:ascii="Times New Roman" w:hAnsi="Times New Roman" w:cs="Times New Roman"/>
                <w:b/>
                <w:lang w:val="en-US"/>
              </w:rPr>
              <w:t>Personalisation</w:t>
            </w:r>
            <w:proofErr w:type="spellEnd"/>
            <w:r w:rsidRPr="00BE4B55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4F1A2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Do the learners </w:t>
            </w:r>
            <w:proofErr w:type="gramStart"/>
            <w:r w:rsidRPr="00BE4B55">
              <w:rPr>
                <w:rFonts w:ascii="Times New Roman" w:hAnsi="Times New Roman" w:cs="Times New Roman"/>
                <w:lang w:val="en-US"/>
              </w:rPr>
              <w:t>have the opportunity to</w:t>
            </w:r>
            <w:proofErr w:type="gramEnd"/>
            <w:r w:rsidRPr="00BE4B55">
              <w:rPr>
                <w:rFonts w:ascii="Times New Roman" w:hAnsi="Times New Roman" w:cs="Times New Roman"/>
                <w:lang w:val="en-US"/>
              </w:rPr>
              <w:t xml:space="preserve"> draw on their personal experiences and express their own ideas?</w:t>
            </w:r>
          </w:p>
        </w:tc>
        <w:tc>
          <w:tcPr>
            <w:tcW w:w="459" w:type="dxa"/>
          </w:tcPr>
          <w:p w14:paraId="4AAB28C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2349359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4A9991A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5D5E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39B48F8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53CC095B" w14:textId="77777777" w:rsidTr="000D4033">
        <w:trPr>
          <w:trHeight w:val="1008"/>
        </w:trPr>
        <w:tc>
          <w:tcPr>
            <w:tcW w:w="630" w:type="dxa"/>
            <w:vMerge/>
            <w:shd w:val="clear" w:color="auto" w:fill="ED7D31" w:themeFill="accent2"/>
          </w:tcPr>
          <w:p w14:paraId="5B233E7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72209E7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E4B55">
              <w:rPr>
                <w:rFonts w:ascii="Times New Roman" w:hAnsi="Times New Roman" w:cs="Times New Roman"/>
                <w:b/>
                <w:lang w:val="en-US"/>
              </w:rPr>
              <w:t>Contextualisation</w:t>
            </w:r>
            <w:proofErr w:type="spellEnd"/>
            <w:r w:rsidRPr="00BE4B55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86D2F3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Is the exercise embedded in a clear communicative context?</w:t>
            </w:r>
          </w:p>
        </w:tc>
        <w:tc>
          <w:tcPr>
            <w:tcW w:w="459" w:type="dxa"/>
          </w:tcPr>
          <w:p w14:paraId="3FBA7E3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</w:tcPr>
          <w:p w14:paraId="708A021D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97FFA7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584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6420A7A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5CCFCC0C" w14:textId="77777777" w:rsidTr="000D4033">
        <w:tc>
          <w:tcPr>
            <w:tcW w:w="630" w:type="dxa"/>
            <w:vMerge/>
            <w:shd w:val="clear" w:color="auto" w:fill="ED7D31" w:themeFill="accent2"/>
          </w:tcPr>
          <w:p w14:paraId="558FCC89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4B083" w:themeFill="accent2" w:themeFillTint="99"/>
            <w:vAlign w:val="center"/>
          </w:tcPr>
          <w:p w14:paraId="08A693D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Authenticity of process:</w:t>
            </w:r>
          </w:p>
          <w:p w14:paraId="798354E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Will the learners use language in natural, “language-like” ways (rather than manipulate forms)?</w:t>
            </w:r>
          </w:p>
        </w:tc>
        <w:tc>
          <w:tcPr>
            <w:tcW w:w="459" w:type="dxa"/>
          </w:tcPr>
          <w:p w14:paraId="3E5E31E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0" w:type="dxa"/>
          </w:tcPr>
          <w:p w14:paraId="3EAC9C05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EEA3B6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416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2DDB9AD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0671D6EE" w14:textId="77777777" w:rsidTr="000D4033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2AD3CD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1A6EBD7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Task-based:</w:t>
            </w:r>
            <w:r w:rsidRPr="00BE4B5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566A81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 xml:space="preserve">Do the students fulfil a purposeful task that will have an outcome or </w:t>
            </w:r>
            <w:proofErr w:type="gramStart"/>
            <w:r w:rsidRPr="00BE4B55">
              <w:rPr>
                <w:rFonts w:ascii="Times New Roman" w:hAnsi="Times New Roman" w:cs="Times New Roman"/>
                <w:lang w:val="en-US"/>
              </w:rPr>
              <w:t>end product</w:t>
            </w:r>
            <w:proofErr w:type="gramEnd"/>
            <w:r w:rsidRPr="00BE4B55"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6E4A4BFF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33525BD7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799A17A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A45A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E9DCA9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3030BF61" w14:textId="77777777" w:rsidTr="000D4033">
        <w:trPr>
          <w:trHeight w:val="1080"/>
        </w:trPr>
        <w:tc>
          <w:tcPr>
            <w:tcW w:w="630" w:type="dxa"/>
            <w:vMerge/>
            <w:shd w:val="clear" w:color="auto" w:fill="ED7D31" w:themeFill="accent2"/>
          </w:tcPr>
          <w:p w14:paraId="584F1471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7CAAC" w:themeFill="accent2" w:themeFillTint="66"/>
            <w:vAlign w:val="center"/>
          </w:tcPr>
          <w:p w14:paraId="6CD024C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Testing versus teaching:</w:t>
            </w:r>
          </w:p>
          <w:p w14:paraId="08204F4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lang w:val="en-US"/>
              </w:rPr>
              <w:t>Does the exercise support learning or only test it?</w:t>
            </w:r>
          </w:p>
        </w:tc>
        <w:tc>
          <w:tcPr>
            <w:tcW w:w="459" w:type="dxa"/>
            <w:tcBorders>
              <w:right w:val="single" w:sz="4" w:space="0" w:color="auto"/>
            </w:tcBorders>
          </w:tcPr>
          <w:p w14:paraId="5A8CF31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6C566C9B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14:paraId="4A915970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10384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1E90B306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2475" w:rsidRPr="00BE4B55" w14:paraId="7B60770F" w14:textId="77777777" w:rsidTr="000D4033">
        <w:trPr>
          <w:cantSplit/>
        </w:trPr>
        <w:tc>
          <w:tcPr>
            <w:tcW w:w="630" w:type="dxa"/>
            <w:vMerge/>
            <w:shd w:val="clear" w:color="auto" w:fill="ED7D31" w:themeFill="accent2"/>
          </w:tcPr>
          <w:p w14:paraId="592AA9AE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751" w:type="dxa"/>
            <w:shd w:val="clear" w:color="auto" w:fill="FFC000" w:themeFill="accent4"/>
          </w:tcPr>
          <w:p w14:paraId="54BC4FF3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E4B55">
              <w:rPr>
                <w:rFonts w:ascii="Times New Roman" w:hAnsi="Times New Roman" w:cs="Times New Roman"/>
                <w:b/>
                <w:lang w:val="en-US"/>
              </w:rPr>
              <w:t>This exercise supports learning processes…</w:t>
            </w:r>
          </w:p>
        </w:tc>
        <w:tc>
          <w:tcPr>
            <w:tcW w:w="459" w:type="dxa"/>
            <w:shd w:val="clear" w:color="auto" w:fill="FFC000" w:themeFill="accent4"/>
            <w:vAlign w:val="center"/>
          </w:tcPr>
          <w:p w14:paraId="57541204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5D848B" wp14:editId="6EB276F3">
                  <wp:extent cx="234950" cy="222718"/>
                  <wp:effectExtent l="0" t="0" r="0" b="6350"/>
                  <wp:docPr id="454" name="Picture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2" cy="226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shd w:val="clear" w:color="auto" w:fill="FFC000" w:themeFill="accent4"/>
            <w:vAlign w:val="center"/>
          </w:tcPr>
          <w:p w14:paraId="4F43FD24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8A39CB" wp14:editId="04D801C8">
                  <wp:extent cx="220390" cy="208915"/>
                  <wp:effectExtent l="0" t="0" r="8255" b="635"/>
                  <wp:docPr id="455" name="Picture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26" cy="213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FFC000" w:themeFill="accent4"/>
            <w:vAlign w:val="center"/>
          </w:tcPr>
          <w:p w14:paraId="7E53382C" w14:textId="77777777" w:rsidR="00A72475" w:rsidRPr="00BE4B55" w:rsidRDefault="00A72475" w:rsidP="00A724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B5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C911BF" wp14:editId="55BAC026">
                  <wp:extent cx="223520" cy="211881"/>
                  <wp:effectExtent l="0" t="0" r="5080" b="0"/>
                  <wp:docPr id="456" name="Picture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95" cy="21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EF7FA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30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429C25BC" w14:textId="77777777" w:rsidR="00A72475" w:rsidRPr="00BE4B55" w:rsidRDefault="00A72475" w:rsidP="00A724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EC46B84" w14:textId="77777777" w:rsidR="00332986" w:rsidRDefault="00332986" w:rsidP="00681250">
      <w:pPr>
        <w:spacing w:after="0" w:line="240" w:lineRule="auto"/>
      </w:pPr>
    </w:p>
    <w:sectPr w:rsidR="00332986" w:rsidSect="00A7247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E0510E"/>
    <w:multiLevelType w:val="hybridMultilevel"/>
    <w:tmpl w:val="A8CAC236"/>
    <w:lvl w:ilvl="0" w:tplc="245667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75"/>
    <w:rsid w:val="0015025C"/>
    <w:rsid w:val="00332986"/>
    <w:rsid w:val="00445E29"/>
    <w:rsid w:val="00681250"/>
    <w:rsid w:val="006B29FC"/>
    <w:rsid w:val="006B436D"/>
    <w:rsid w:val="007428A9"/>
    <w:rsid w:val="008D34C1"/>
    <w:rsid w:val="009B1E13"/>
    <w:rsid w:val="00A72475"/>
    <w:rsid w:val="00AA65F6"/>
    <w:rsid w:val="00AF68F6"/>
    <w:rsid w:val="00B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E074"/>
  <w15:chartTrackingRefBased/>
  <w15:docId w15:val="{B002D2A5-EB4A-42A8-AC54-9C93539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7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table" w:styleId="TableGrid">
    <w:name w:val="Table Grid"/>
    <w:basedOn w:val="TableNormal"/>
    <w:uiPriority w:val="39"/>
    <w:rsid w:val="00A72475"/>
    <w:pPr>
      <w:spacing w:after="0" w:line="276" w:lineRule="auto"/>
    </w:pPr>
    <w:rPr>
      <w:rFonts w:eastAsiaTheme="minorEastAsia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LP</cp:lastModifiedBy>
  <cp:revision>2</cp:revision>
  <dcterms:created xsi:type="dcterms:W3CDTF">2020-11-21T17:19:00Z</dcterms:created>
  <dcterms:modified xsi:type="dcterms:W3CDTF">2020-11-21T17:19:00Z</dcterms:modified>
</cp:coreProperties>
</file>