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0CA2" w14:textId="77777777" w:rsidR="00A72475" w:rsidRPr="00BE4B55" w:rsidRDefault="00A72475" w:rsidP="00A72475">
      <w:pPr>
        <w:pStyle w:val="Heading1"/>
      </w:pPr>
      <w:bookmarkStart w:id="0" w:name="_Toc473388361"/>
      <w:bookmarkStart w:id="1" w:name="_Toc494559452"/>
      <w:r w:rsidRPr="00BE4B55">
        <w:t xml:space="preserve">Quick Check </w:t>
      </w:r>
      <w:r w:rsidRPr="00CB2E23">
        <w:t>Grammar</w:t>
      </w:r>
      <w:r w:rsidRPr="00BE4B55">
        <w:t xml:space="preserve"> Chart</w:t>
      </w:r>
      <w:bookmarkEnd w:id="0"/>
      <w:bookmarkEnd w:id="1"/>
    </w:p>
    <w:tbl>
      <w:tblPr>
        <w:tblStyle w:val="TableGrid"/>
        <w:tblW w:w="110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751"/>
        <w:gridCol w:w="459"/>
        <w:gridCol w:w="460"/>
        <w:gridCol w:w="460"/>
        <w:gridCol w:w="450"/>
        <w:gridCol w:w="4830"/>
      </w:tblGrid>
      <w:tr w:rsidR="00A72475" w:rsidRPr="00BE4B55" w14:paraId="3181752B" w14:textId="77777777" w:rsidTr="000D4033">
        <w:tc>
          <w:tcPr>
            <w:tcW w:w="630" w:type="dxa"/>
            <w:shd w:val="clear" w:color="auto" w:fill="2F5496" w:themeFill="accent1" w:themeFillShade="BF"/>
            <w:vAlign w:val="center"/>
          </w:tcPr>
          <w:p w14:paraId="39FD7952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3751" w:type="dxa"/>
            <w:shd w:val="clear" w:color="auto" w:fill="FFC000" w:themeFill="accent4"/>
            <w:vAlign w:val="center"/>
          </w:tcPr>
          <w:p w14:paraId="4C2409CB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Quick Check Grammar Chart</w:t>
            </w:r>
          </w:p>
        </w:tc>
        <w:tc>
          <w:tcPr>
            <w:tcW w:w="459" w:type="dxa"/>
            <w:shd w:val="clear" w:color="auto" w:fill="FFC000" w:themeFill="accent4"/>
            <w:vAlign w:val="center"/>
          </w:tcPr>
          <w:p w14:paraId="1D9883C5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E4B55">
              <w:rPr>
                <w:rFonts w:ascii="Times New Roman" w:hAnsi="Times New Roman" w:cs="Times New Roman"/>
                <w:b/>
                <w:sz w:val="52"/>
              </w:rPr>
              <w:t>-</w:t>
            </w:r>
          </w:p>
        </w:tc>
        <w:tc>
          <w:tcPr>
            <w:tcW w:w="460" w:type="dxa"/>
            <w:shd w:val="clear" w:color="auto" w:fill="FFC000" w:themeFill="accent4"/>
            <w:vAlign w:val="center"/>
          </w:tcPr>
          <w:p w14:paraId="7F03D9EE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36"/>
              </w:rPr>
              <w:sym w:font="Wingdings" w:char="F0FC"/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1CC7699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E4B55">
              <w:rPr>
                <w:rFonts w:ascii="Times New Roman" w:hAnsi="Times New Roman" w:cs="Times New Roman"/>
                <w:b/>
                <w:sz w:val="44"/>
              </w:rPr>
              <w:t>+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E9E3B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7C38FE51" w14:textId="77777777" w:rsidR="00A72475" w:rsidRPr="00BE4B55" w:rsidRDefault="00A72475" w:rsidP="00A72475">
            <w:pPr>
              <w:spacing w:after="0" w:line="240" w:lineRule="auto"/>
              <w:ind w:left="142" w:right="487"/>
              <w:rPr>
                <w:rFonts w:ascii="Times New Roman" w:hAnsi="Times New Roman" w:cs="Times New Roman"/>
                <w:b/>
                <w:sz w:val="44"/>
                <w:lang w:val="en-US"/>
              </w:rPr>
            </w:pPr>
          </w:p>
        </w:tc>
      </w:tr>
      <w:tr w:rsidR="00A72475" w:rsidRPr="00BE4B55" w14:paraId="6B896C79" w14:textId="77777777" w:rsidTr="000D4033">
        <w:trPr>
          <w:cantSplit/>
          <w:trHeight w:val="720"/>
        </w:trPr>
        <w:tc>
          <w:tcPr>
            <w:tcW w:w="630" w:type="dxa"/>
            <w:vMerge w:val="restart"/>
            <w:shd w:val="clear" w:color="auto" w:fill="2F5496" w:themeFill="accent1" w:themeFillShade="BF"/>
            <w:textDirection w:val="btLr"/>
            <w:vAlign w:val="center"/>
          </w:tcPr>
          <w:p w14:paraId="4E78C351" w14:textId="77777777" w:rsidR="00A72475" w:rsidRPr="00BE4B55" w:rsidRDefault="00A72475" w:rsidP="00A7247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Learning   Stages</w:t>
            </w:r>
          </w:p>
        </w:tc>
        <w:tc>
          <w:tcPr>
            <w:tcW w:w="3751" w:type="dxa"/>
            <w:shd w:val="clear" w:color="auto" w:fill="D9E2F3" w:themeFill="accent1" w:themeFillTint="33"/>
            <w:vAlign w:val="center"/>
          </w:tcPr>
          <w:p w14:paraId="09E9EC52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B55">
              <w:rPr>
                <w:rFonts w:ascii="Times New Roman" w:hAnsi="Times New Roman" w:cs="Times New Roman"/>
                <w:b/>
              </w:rPr>
              <w:t>Awareness raising</w:t>
            </w:r>
          </w:p>
        </w:tc>
        <w:tc>
          <w:tcPr>
            <w:tcW w:w="459" w:type="dxa"/>
          </w:tcPr>
          <w:p w14:paraId="6E1BBCD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3929312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textDirection w:val="btLr"/>
          </w:tcPr>
          <w:p w14:paraId="7C50122A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D5C367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30" w:type="dxa"/>
            <w:vMerge w:val="restart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1B620DB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Present and practice new grammar in realistic, authentic, contexts that are close to the learners’ experiences.</w:t>
            </w:r>
          </w:p>
          <w:p w14:paraId="7317549C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Give your learners time to make their own hypotheses and find rules inductively.</w:t>
            </w:r>
          </w:p>
          <w:p w14:paraId="6115E9F8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Support the construction of new grammatical concepts (notions) in the learners’ minds through scaffolded (guided) activities where meaning and form connections can be made by the learners.</w:t>
            </w:r>
          </w:p>
          <w:p w14:paraId="20BDAE54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Focus on one new concept (notion) at a time or contrast a new concept with one that your learners have already mastered. Do NOT confuse learners by mixing several new concepts and sending them into grammatical minefields.</w:t>
            </w:r>
          </w:p>
          <w:p w14:paraId="27D5A130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 xml:space="preserve">Create personalized exercises and activities in which the learners can associate new grammatical concepts and forms with experiences in their (episodic) memory. </w:t>
            </w:r>
          </w:p>
          <w:p w14:paraId="49956BA7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Offer open-ended tasks that require the search for meaning. They lead to more brain activity and more depth of processing.</w:t>
            </w:r>
          </w:p>
          <w:p w14:paraId="044FCEDF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Offer grammar tasks that involve several senses (speaking, listening, gestures, images…)</w:t>
            </w:r>
          </w:p>
          <w:p w14:paraId="04BFF564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Use tasks that lead to authentic cognitive processing. e.g.: search for meanings rather than forms. Ask yourself: would anybody do this outside a language classroom?</w:t>
            </w:r>
          </w:p>
          <w:p w14:paraId="5335AF87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 xml:space="preserve">Organize group activities. These lead to higher engagement and more “chemical support” of the limbic system. </w:t>
            </w:r>
          </w:p>
          <w:p w14:paraId="4D9BC2B5" w14:textId="77777777" w:rsidR="00A72475" w:rsidRPr="00BB18AF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Consider your learners’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affective needs: sense of achievement, fun, relevance. These will strongly influence learning</w:t>
            </w:r>
            <w:r w:rsidRPr="00BB18A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72475" w:rsidRPr="00BE4B55" w14:paraId="14C48096" w14:textId="77777777" w:rsidTr="000D4033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12134C2E" w14:textId="77777777" w:rsidR="00A72475" w:rsidRPr="00BB18AF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B4C6E7" w:themeFill="accent1" w:themeFillTint="66"/>
            <w:vAlign w:val="center"/>
          </w:tcPr>
          <w:p w14:paraId="095E3BAF" w14:textId="637DB5D8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</w:rPr>
              <w:t>Conceptualization and h</w:t>
            </w:r>
            <w:r w:rsidR="008D34C1">
              <w:rPr>
                <w:rFonts w:ascii="Times New Roman" w:hAnsi="Times New Roman" w:cs="Times New Roman"/>
                <w:b/>
              </w:rPr>
              <w:t>y</w:t>
            </w:r>
            <w:bookmarkStart w:id="2" w:name="_GoBack"/>
            <w:bookmarkEnd w:id="2"/>
            <w:r w:rsidRPr="00BE4B55">
              <w:rPr>
                <w:rFonts w:ascii="Times New Roman" w:hAnsi="Times New Roman" w:cs="Times New Roman"/>
                <w:b/>
              </w:rPr>
              <w:t>pothesis building</w:t>
            </w:r>
          </w:p>
        </w:tc>
        <w:tc>
          <w:tcPr>
            <w:tcW w:w="459" w:type="dxa"/>
          </w:tcPr>
          <w:p w14:paraId="7F245A2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30A453A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2B2914E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33AA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16BE11F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2475" w:rsidRPr="00BE4B55" w14:paraId="248C65D4" w14:textId="77777777" w:rsidTr="000D4033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5185A90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shd w:val="clear" w:color="auto" w:fill="8EAADB" w:themeFill="accent1" w:themeFillTint="99"/>
            <w:vAlign w:val="center"/>
          </w:tcPr>
          <w:p w14:paraId="0FB21D4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</w:rPr>
              <w:t>Proceduralization in scaffolded conditions</w:t>
            </w:r>
          </w:p>
        </w:tc>
        <w:tc>
          <w:tcPr>
            <w:tcW w:w="459" w:type="dxa"/>
          </w:tcPr>
          <w:p w14:paraId="3F1AEFC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076EB41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CFE97D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E3C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05B8FB4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2475" w:rsidRPr="00BE4B55" w14:paraId="4F91BF6F" w14:textId="77777777" w:rsidTr="000D4033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392B2EB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shd w:val="clear" w:color="auto" w:fill="4472C4" w:themeFill="accent1"/>
            <w:vAlign w:val="center"/>
          </w:tcPr>
          <w:p w14:paraId="48ACCF6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Performance in real-time context</w:t>
            </w:r>
          </w:p>
        </w:tc>
        <w:tc>
          <w:tcPr>
            <w:tcW w:w="459" w:type="dxa"/>
          </w:tcPr>
          <w:p w14:paraId="289D1B2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2E276942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8FDC46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321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0E3005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4D2F2A78" w14:textId="77777777" w:rsidTr="000D4033">
        <w:trPr>
          <w:cantSplit/>
          <w:trHeight w:val="1008"/>
        </w:trPr>
        <w:tc>
          <w:tcPr>
            <w:tcW w:w="630" w:type="dxa"/>
            <w:vMerge w:val="restart"/>
            <w:shd w:val="clear" w:color="auto" w:fill="ED7D31" w:themeFill="accent2"/>
            <w:textDirection w:val="btLr"/>
            <w:vAlign w:val="center"/>
          </w:tcPr>
          <w:p w14:paraId="2569E276" w14:textId="77777777" w:rsidR="00A72475" w:rsidRPr="00BE4B55" w:rsidRDefault="00A72475" w:rsidP="00A7247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Pedagogical   Principles   and   Communicative   Criteria</w:t>
            </w: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6A219A3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 xml:space="preserve">Depth of processing 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Pr="00BE4B55">
              <w:rPr>
                <w:rFonts w:ascii="Times New Roman" w:hAnsi="Times New Roman" w:cs="Times New Roman"/>
                <w:b/>
                <w:lang w:val="en-US"/>
              </w:rPr>
              <w:t>Complex encoding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: Will the learners be mentally active and process grammar, lexis and their “world knowledge”?</w:t>
            </w:r>
          </w:p>
        </w:tc>
        <w:tc>
          <w:tcPr>
            <w:tcW w:w="459" w:type="dxa"/>
          </w:tcPr>
          <w:p w14:paraId="2626FA0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40533058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textDirection w:val="btLr"/>
          </w:tcPr>
          <w:p w14:paraId="52726A39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61E6C6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68DEFA24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A72475" w:rsidRPr="00BE4B55" w14:paraId="7DFFC3BA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257D0CF2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4966611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 xml:space="preserve">Commitment filter: </w:t>
            </w:r>
          </w:p>
          <w:p w14:paraId="77A7FD5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Will the learners’ cognitive and affective needs be met? (e.g.: curiosity, problem solving, enjoyment, fun, success)</w:t>
            </w:r>
          </w:p>
        </w:tc>
        <w:tc>
          <w:tcPr>
            <w:tcW w:w="459" w:type="dxa"/>
          </w:tcPr>
          <w:p w14:paraId="02AE8C6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7D4C51A8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3E593D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6838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CD1218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718E98D6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5804C3A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49D3056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Peer and social learning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4B55">
              <w:rPr>
                <w:rFonts w:ascii="Times New Roman" w:hAnsi="Times New Roman" w:cs="Times New Roman"/>
                <w:b/>
                <w:lang w:val="en-US"/>
              </w:rPr>
              <w:t>and interaction:</w:t>
            </w:r>
          </w:p>
          <w:p w14:paraId="3F84416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Pair – or groupwork, sharing, oral activities, jigsaw activities…</w:t>
            </w:r>
          </w:p>
        </w:tc>
        <w:tc>
          <w:tcPr>
            <w:tcW w:w="459" w:type="dxa"/>
          </w:tcPr>
          <w:p w14:paraId="4FCDCA3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24D4340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BDC5D9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1F0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095734B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374B3454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068A3EB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00946E1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Personalisation: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4F1A2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Do the learners have the opportunity to draw on their personal experiences and express their own ideas?</w:t>
            </w:r>
          </w:p>
        </w:tc>
        <w:tc>
          <w:tcPr>
            <w:tcW w:w="459" w:type="dxa"/>
          </w:tcPr>
          <w:p w14:paraId="4AAB28C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2349359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4A9991A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5D5E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439B48F8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53CC095B" w14:textId="77777777" w:rsidTr="000D4033">
        <w:trPr>
          <w:trHeight w:val="1008"/>
        </w:trPr>
        <w:tc>
          <w:tcPr>
            <w:tcW w:w="630" w:type="dxa"/>
            <w:vMerge/>
            <w:shd w:val="clear" w:color="auto" w:fill="ED7D31" w:themeFill="accent2"/>
          </w:tcPr>
          <w:p w14:paraId="5B233E7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72209E7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Contextualisation: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86D2F3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Is the exercise embedded in a clear communicative context?</w:t>
            </w:r>
          </w:p>
        </w:tc>
        <w:tc>
          <w:tcPr>
            <w:tcW w:w="459" w:type="dxa"/>
          </w:tcPr>
          <w:p w14:paraId="3FBA7E3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708A021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97FFA7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584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6420A7A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5CCFCC0C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558FCC8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08A693D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Authenticity of process:</w:t>
            </w:r>
          </w:p>
          <w:p w14:paraId="798354E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Will the learners use language in natural, “language-like” ways (rather than manipulate forms)?</w:t>
            </w:r>
          </w:p>
        </w:tc>
        <w:tc>
          <w:tcPr>
            <w:tcW w:w="459" w:type="dxa"/>
          </w:tcPr>
          <w:p w14:paraId="3E5E31E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0" w:type="dxa"/>
          </w:tcPr>
          <w:p w14:paraId="3EAC9C0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EEA3B6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5416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2DDB9AD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0671D6EE" w14:textId="77777777" w:rsidTr="000D4033">
        <w:trPr>
          <w:trHeight w:val="1080"/>
        </w:trPr>
        <w:tc>
          <w:tcPr>
            <w:tcW w:w="630" w:type="dxa"/>
            <w:vMerge/>
            <w:shd w:val="clear" w:color="auto" w:fill="ED7D31" w:themeFill="accent2"/>
          </w:tcPr>
          <w:p w14:paraId="2AD3CD1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1A6EBD7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Task-based: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566A81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Do the students fulfil a purposeful task that will have an outcome or end product?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6E4A4BF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3525BD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99A17A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45A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E9DCA9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3030BF61" w14:textId="77777777" w:rsidTr="000D4033">
        <w:trPr>
          <w:trHeight w:val="1080"/>
        </w:trPr>
        <w:tc>
          <w:tcPr>
            <w:tcW w:w="630" w:type="dxa"/>
            <w:vMerge/>
            <w:shd w:val="clear" w:color="auto" w:fill="ED7D31" w:themeFill="accent2"/>
          </w:tcPr>
          <w:p w14:paraId="584F147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6CD024C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Testing versus teaching:</w:t>
            </w:r>
          </w:p>
          <w:p w14:paraId="08204F4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Does the exercise support learning or only test it?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A8CF31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6C566C9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4A91597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1038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1E90B30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7B60770F" w14:textId="77777777" w:rsidTr="000D4033">
        <w:trPr>
          <w:cantSplit/>
        </w:trPr>
        <w:tc>
          <w:tcPr>
            <w:tcW w:w="630" w:type="dxa"/>
            <w:vMerge/>
            <w:shd w:val="clear" w:color="auto" w:fill="ED7D31" w:themeFill="accent2"/>
          </w:tcPr>
          <w:p w14:paraId="592AA9A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FC000" w:themeFill="accent4"/>
          </w:tcPr>
          <w:p w14:paraId="54BC4FF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This exercise supports learning processes…</w:t>
            </w:r>
          </w:p>
        </w:tc>
        <w:tc>
          <w:tcPr>
            <w:tcW w:w="459" w:type="dxa"/>
            <w:shd w:val="clear" w:color="auto" w:fill="FFC000" w:themeFill="accent4"/>
            <w:vAlign w:val="center"/>
          </w:tcPr>
          <w:p w14:paraId="57541204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5D848B" wp14:editId="6EB276F3">
                  <wp:extent cx="234950" cy="222718"/>
                  <wp:effectExtent l="0" t="0" r="0" b="6350"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2" cy="226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shd w:val="clear" w:color="auto" w:fill="FFC000" w:themeFill="accent4"/>
            <w:vAlign w:val="center"/>
          </w:tcPr>
          <w:p w14:paraId="4F43FD24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8A39CB" wp14:editId="04D801C8">
                  <wp:extent cx="220390" cy="208915"/>
                  <wp:effectExtent l="0" t="0" r="8255" b="635"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26" cy="213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E53382C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C911BF" wp14:editId="55BAC026">
                  <wp:extent cx="223520" cy="211881"/>
                  <wp:effectExtent l="0" t="0" r="5080" b="0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95" cy="21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EF7F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429C25B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C46B84" w14:textId="77777777" w:rsidR="00332986" w:rsidRDefault="00332986" w:rsidP="00681250">
      <w:pPr>
        <w:spacing w:after="0" w:line="240" w:lineRule="auto"/>
      </w:pPr>
    </w:p>
    <w:sectPr w:rsidR="00332986" w:rsidSect="00A7247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0510E"/>
    <w:multiLevelType w:val="hybridMultilevel"/>
    <w:tmpl w:val="A8CAC236"/>
    <w:lvl w:ilvl="0" w:tplc="245667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75"/>
    <w:rsid w:val="0015025C"/>
    <w:rsid w:val="00332986"/>
    <w:rsid w:val="00445E29"/>
    <w:rsid w:val="00681250"/>
    <w:rsid w:val="006B29FC"/>
    <w:rsid w:val="006B436D"/>
    <w:rsid w:val="007428A9"/>
    <w:rsid w:val="008D34C1"/>
    <w:rsid w:val="009B1E13"/>
    <w:rsid w:val="00A72475"/>
    <w:rsid w:val="00AA65F6"/>
    <w:rsid w:val="00A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E074"/>
  <w15:chartTrackingRefBased/>
  <w15:docId w15:val="{B002D2A5-EB4A-42A8-AC54-9C93539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7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A72475"/>
    <w:pPr>
      <w:spacing w:after="0" w:line="276" w:lineRule="auto"/>
    </w:pPr>
    <w:rPr>
      <w:rFonts w:eastAsiaTheme="minorEastAsia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LP</cp:lastModifiedBy>
  <cp:revision>3</cp:revision>
  <dcterms:created xsi:type="dcterms:W3CDTF">2017-10-01T10:49:00Z</dcterms:created>
  <dcterms:modified xsi:type="dcterms:W3CDTF">2019-11-18T14:52:00Z</dcterms:modified>
</cp:coreProperties>
</file>