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713"/>
        <w:gridCol w:w="2973"/>
        <w:gridCol w:w="620"/>
        <w:gridCol w:w="621"/>
        <w:gridCol w:w="622"/>
        <w:gridCol w:w="297"/>
        <w:gridCol w:w="720"/>
        <w:gridCol w:w="2966"/>
        <w:gridCol w:w="634"/>
        <w:gridCol w:w="634"/>
        <w:gridCol w:w="630"/>
      </w:tblGrid>
      <w:tr w:rsidR="004A119A" w:rsidTr="00E05873">
        <w:tc>
          <w:tcPr>
            <w:tcW w:w="3686" w:type="dxa"/>
            <w:gridSpan w:val="2"/>
            <w:shd w:val="clear" w:color="auto" w:fill="FFC000" w:themeFill="accent4"/>
            <w:vAlign w:val="center"/>
          </w:tcPr>
          <w:p w:rsidR="004A119A" w:rsidRPr="00EF1A3D" w:rsidRDefault="004A119A" w:rsidP="00243C60">
            <w:pPr>
              <w:jc w:val="center"/>
              <w:rPr>
                <w:b/>
                <w:sz w:val="28"/>
              </w:rPr>
            </w:pPr>
            <w:r w:rsidRPr="00EF1A3D">
              <w:rPr>
                <w:b/>
                <w:sz w:val="28"/>
              </w:rPr>
              <w:t>Quick Check Grammar Chart</w:t>
            </w:r>
          </w:p>
        </w:tc>
        <w:tc>
          <w:tcPr>
            <w:tcW w:w="620" w:type="dxa"/>
            <w:shd w:val="clear" w:color="auto" w:fill="FFC000" w:themeFill="accent4"/>
            <w:vAlign w:val="center"/>
          </w:tcPr>
          <w:p w:rsidR="004A119A" w:rsidRPr="007D59FE" w:rsidRDefault="004A119A" w:rsidP="00243C60">
            <w:pPr>
              <w:jc w:val="center"/>
              <w:rPr>
                <w:b/>
                <w:sz w:val="32"/>
              </w:rPr>
            </w:pPr>
            <w:r w:rsidRPr="007D59FE">
              <w:rPr>
                <w:b/>
                <w:sz w:val="52"/>
              </w:rPr>
              <w:t>-</w:t>
            </w:r>
          </w:p>
        </w:tc>
        <w:tc>
          <w:tcPr>
            <w:tcW w:w="621" w:type="dxa"/>
            <w:shd w:val="clear" w:color="auto" w:fill="FFC000" w:themeFill="accent4"/>
            <w:vAlign w:val="center"/>
          </w:tcPr>
          <w:p w:rsidR="004A119A" w:rsidRPr="007D59FE" w:rsidRDefault="004A119A" w:rsidP="00243C60">
            <w:pPr>
              <w:jc w:val="center"/>
              <w:rPr>
                <w:b/>
                <w:sz w:val="28"/>
              </w:rPr>
            </w:pPr>
            <w:r w:rsidRPr="007D59FE">
              <w:rPr>
                <w:b/>
                <w:sz w:val="36"/>
              </w:rPr>
              <w:sym w:font="Wingdings" w:char="F0FC"/>
            </w:r>
          </w:p>
        </w:tc>
        <w:tc>
          <w:tcPr>
            <w:tcW w:w="622" w:type="dxa"/>
            <w:shd w:val="clear" w:color="auto" w:fill="FFC000" w:themeFill="accent4"/>
            <w:vAlign w:val="center"/>
          </w:tcPr>
          <w:p w:rsidR="004A119A" w:rsidRPr="007D59FE" w:rsidRDefault="004A119A" w:rsidP="004A119A">
            <w:pPr>
              <w:jc w:val="center"/>
              <w:rPr>
                <w:b/>
                <w:sz w:val="44"/>
              </w:rPr>
            </w:pPr>
            <w:r w:rsidRPr="007D59FE">
              <w:rPr>
                <w:b/>
                <w:sz w:val="44"/>
              </w:rPr>
              <w:t>+</w:t>
            </w:r>
          </w:p>
        </w:tc>
        <w:tc>
          <w:tcPr>
            <w:tcW w:w="297" w:type="dxa"/>
            <w:vMerge w:val="restart"/>
            <w:shd w:val="clear" w:color="auto" w:fill="auto"/>
          </w:tcPr>
          <w:p w:rsidR="004A119A" w:rsidRPr="007D59FE" w:rsidRDefault="004A119A" w:rsidP="00243C60">
            <w:pPr>
              <w:jc w:val="center"/>
              <w:rPr>
                <w:b/>
                <w:sz w:val="44"/>
              </w:rPr>
            </w:pPr>
          </w:p>
        </w:tc>
        <w:tc>
          <w:tcPr>
            <w:tcW w:w="3686" w:type="dxa"/>
            <w:gridSpan w:val="2"/>
            <w:shd w:val="clear" w:color="auto" w:fill="FFC000" w:themeFill="accent4"/>
            <w:vAlign w:val="center"/>
          </w:tcPr>
          <w:p w:rsidR="004A119A" w:rsidRPr="00EF1A3D" w:rsidRDefault="004A119A" w:rsidP="00243C60">
            <w:pPr>
              <w:jc w:val="center"/>
              <w:rPr>
                <w:b/>
                <w:sz w:val="28"/>
              </w:rPr>
            </w:pPr>
            <w:r w:rsidRPr="00EF1A3D">
              <w:rPr>
                <w:b/>
                <w:sz w:val="28"/>
              </w:rPr>
              <w:t>Quick Check Grammar Chart</w:t>
            </w:r>
          </w:p>
        </w:tc>
        <w:tc>
          <w:tcPr>
            <w:tcW w:w="634" w:type="dxa"/>
            <w:shd w:val="clear" w:color="auto" w:fill="FFC000" w:themeFill="accent4"/>
            <w:vAlign w:val="center"/>
          </w:tcPr>
          <w:p w:rsidR="004A119A" w:rsidRPr="007D59FE" w:rsidRDefault="004A119A" w:rsidP="00243C60">
            <w:pPr>
              <w:jc w:val="center"/>
              <w:rPr>
                <w:b/>
                <w:sz w:val="32"/>
              </w:rPr>
            </w:pPr>
            <w:r w:rsidRPr="007D59FE">
              <w:rPr>
                <w:b/>
                <w:sz w:val="52"/>
              </w:rPr>
              <w:t>-</w:t>
            </w:r>
          </w:p>
        </w:tc>
        <w:tc>
          <w:tcPr>
            <w:tcW w:w="634" w:type="dxa"/>
            <w:shd w:val="clear" w:color="auto" w:fill="FFC000" w:themeFill="accent4"/>
            <w:vAlign w:val="center"/>
          </w:tcPr>
          <w:p w:rsidR="004A119A" w:rsidRPr="007D59FE" w:rsidRDefault="004A119A" w:rsidP="00243C60">
            <w:pPr>
              <w:jc w:val="center"/>
              <w:rPr>
                <w:b/>
                <w:sz w:val="28"/>
              </w:rPr>
            </w:pPr>
            <w:r w:rsidRPr="007D59FE">
              <w:rPr>
                <w:b/>
                <w:sz w:val="36"/>
              </w:rPr>
              <w:sym w:font="Wingdings" w:char="F0FC"/>
            </w:r>
          </w:p>
        </w:tc>
        <w:tc>
          <w:tcPr>
            <w:tcW w:w="630" w:type="dxa"/>
            <w:shd w:val="clear" w:color="auto" w:fill="FFC000" w:themeFill="accent4"/>
            <w:vAlign w:val="center"/>
          </w:tcPr>
          <w:p w:rsidR="004A119A" w:rsidRPr="007D59FE" w:rsidRDefault="004A119A" w:rsidP="00243C60">
            <w:pPr>
              <w:jc w:val="center"/>
              <w:rPr>
                <w:b/>
                <w:sz w:val="44"/>
              </w:rPr>
            </w:pPr>
            <w:r w:rsidRPr="007D59FE">
              <w:rPr>
                <w:b/>
                <w:sz w:val="44"/>
              </w:rPr>
              <w:t>+</w:t>
            </w:r>
            <w:bookmarkStart w:id="0" w:name="_GoBack"/>
            <w:bookmarkEnd w:id="0"/>
          </w:p>
        </w:tc>
      </w:tr>
      <w:tr w:rsidR="00A44D3F" w:rsidTr="00E05873">
        <w:trPr>
          <w:cantSplit/>
          <w:trHeight w:val="720"/>
        </w:trPr>
        <w:tc>
          <w:tcPr>
            <w:tcW w:w="713" w:type="dxa"/>
            <w:vMerge w:val="restart"/>
            <w:shd w:val="clear" w:color="auto" w:fill="2E74B5" w:themeFill="accent1" w:themeFillShade="BF"/>
            <w:textDirection w:val="btLr"/>
            <w:vAlign w:val="center"/>
          </w:tcPr>
          <w:p w:rsidR="004A119A" w:rsidRPr="00EF1A3D" w:rsidRDefault="004A119A" w:rsidP="004A119A">
            <w:pPr>
              <w:ind w:right="113"/>
              <w:jc w:val="center"/>
              <w:rPr>
                <w:b/>
              </w:rPr>
            </w:pPr>
            <w:r w:rsidRPr="00EF1A3D">
              <w:rPr>
                <w:b/>
                <w:sz w:val="28"/>
              </w:rPr>
              <w:t xml:space="preserve">Learning 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>Stages</w:t>
            </w:r>
          </w:p>
        </w:tc>
        <w:tc>
          <w:tcPr>
            <w:tcW w:w="2973" w:type="dxa"/>
            <w:shd w:val="clear" w:color="auto" w:fill="DEEAF6" w:themeFill="accent1" w:themeFillTint="33"/>
            <w:vAlign w:val="center"/>
          </w:tcPr>
          <w:p w:rsidR="004A119A" w:rsidRDefault="004A119A" w:rsidP="004A119A">
            <w:r w:rsidRPr="00EF1A3D">
              <w:rPr>
                <w:b/>
              </w:rPr>
              <w:t>Awareness raising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  <w:textDirection w:val="btLr"/>
          </w:tcPr>
          <w:p w:rsidR="004A119A" w:rsidRDefault="004A119A" w:rsidP="00243C60">
            <w:pPr>
              <w:ind w:right="113"/>
              <w:rPr>
                <w:b/>
                <w:sz w:val="28"/>
              </w:rPr>
            </w:pPr>
          </w:p>
        </w:tc>
        <w:tc>
          <w:tcPr>
            <w:tcW w:w="297" w:type="dxa"/>
            <w:vMerge/>
            <w:shd w:val="clear" w:color="auto" w:fill="auto"/>
            <w:textDirection w:val="btLr"/>
          </w:tcPr>
          <w:p w:rsidR="004A119A" w:rsidRDefault="004A119A" w:rsidP="00243C60">
            <w:pPr>
              <w:ind w:right="113"/>
              <w:rPr>
                <w:b/>
                <w:sz w:val="28"/>
              </w:rPr>
            </w:pPr>
          </w:p>
        </w:tc>
        <w:tc>
          <w:tcPr>
            <w:tcW w:w="720" w:type="dxa"/>
            <w:vMerge w:val="restart"/>
            <w:shd w:val="clear" w:color="auto" w:fill="2E74B5" w:themeFill="accent1" w:themeFillShade="BF"/>
            <w:textDirection w:val="btLr"/>
            <w:vAlign w:val="center"/>
          </w:tcPr>
          <w:p w:rsidR="004A119A" w:rsidRPr="00EF1A3D" w:rsidRDefault="004A119A" w:rsidP="004A119A">
            <w:pPr>
              <w:ind w:right="113"/>
              <w:jc w:val="center"/>
              <w:rPr>
                <w:b/>
              </w:rPr>
            </w:pPr>
            <w:r w:rsidRPr="00EF1A3D">
              <w:rPr>
                <w:b/>
                <w:sz w:val="28"/>
              </w:rPr>
              <w:t xml:space="preserve">Learning 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>Stages</w:t>
            </w:r>
          </w:p>
        </w:tc>
        <w:tc>
          <w:tcPr>
            <w:tcW w:w="2966" w:type="dxa"/>
            <w:shd w:val="clear" w:color="auto" w:fill="DEEAF6" w:themeFill="accent1" w:themeFillTint="33"/>
            <w:vAlign w:val="center"/>
          </w:tcPr>
          <w:p w:rsidR="004A119A" w:rsidRDefault="004A119A" w:rsidP="004A119A">
            <w:r w:rsidRPr="00EF1A3D">
              <w:rPr>
                <w:b/>
              </w:rPr>
              <w:t>Awareness raising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rPr>
          <w:cantSplit/>
          <w:trHeight w:val="720"/>
        </w:trPr>
        <w:tc>
          <w:tcPr>
            <w:tcW w:w="713" w:type="dxa"/>
            <w:vMerge/>
            <w:shd w:val="clear" w:color="auto" w:fill="2E74B5" w:themeFill="accent1" w:themeFillShade="BF"/>
          </w:tcPr>
          <w:p w:rsidR="004A119A" w:rsidRDefault="004A119A" w:rsidP="00243C60"/>
        </w:tc>
        <w:tc>
          <w:tcPr>
            <w:tcW w:w="2973" w:type="dxa"/>
            <w:shd w:val="clear" w:color="auto" w:fill="BDD6EE" w:themeFill="accent1" w:themeFillTint="66"/>
            <w:vAlign w:val="center"/>
          </w:tcPr>
          <w:p w:rsidR="004A119A" w:rsidRPr="00EF1A3D" w:rsidRDefault="004A119A" w:rsidP="004A119A">
            <w:pPr>
              <w:rPr>
                <w:b/>
              </w:rPr>
            </w:pPr>
            <w:r w:rsidRPr="00EF1A3D">
              <w:rPr>
                <w:b/>
              </w:rPr>
              <w:t xml:space="preserve">Conceptualization and </w:t>
            </w:r>
            <w:proofErr w:type="spellStart"/>
            <w:r w:rsidRPr="00EF1A3D">
              <w:rPr>
                <w:b/>
              </w:rPr>
              <w:t>hpothesis</w:t>
            </w:r>
            <w:proofErr w:type="spellEnd"/>
            <w:r w:rsidRPr="00EF1A3D">
              <w:rPr>
                <w:b/>
              </w:rPr>
              <w:t xml:space="preserve"> building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2E74B5" w:themeFill="accent1" w:themeFillShade="BF"/>
          </w:tcPr>
          <w:p w:rsidR="004A119A" w:rsidRDefault="004A119A" w:rsidP="00243C60"/>
        </w:tc>
        <w:tc>
          <w:tcPr>
            <w:tcW w:w="2966" w:type="dxa"/>
            <w:shd w:val="clear" w:color="auto" w:fill="BDD6EE" w:themeFill="accent1" w:themeFillTint="66"/>
            <w:vAlign w:val="center"/>
          </w:tcPr>
          <w:p w:rsidR="004A119A" w:rsidRPr="00EF1A3D" w:rsidRDefault="004A119A" w:rsidP="004A119A">
            <w:pPr>
              <w:rPr>
                <w:b/>
              </w:rPr>
            </w:pPr>
            <w:r w:rsidRPr="00EF1A3D">
              <w:rPr>
                <w:b/>
              </w:rPr>
              <w:t xml:space="preserve">Conceptualization and </w:t>
            </w:r>
            <w:proofErr w:type="spellStart"/>
            <w:r w:rsidRPr="00EF1A3D">
              <w:rPr>
                <w:b/>
              </w:rPr>
              <w:t>hpothesis</w:t>
            </w:r>
            <w:proofErr w:type="spellEnd"/>
            <w:r w:rsidRPr="00EF1A3D">
              <w:rPr>
                <w:b/>
              </w:rPr>
              <w:t xml:space="preserve"> building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rPr>
          <w:cantSplit/>
          <w:trHeight w:val="720"/>
        </w:trPr>
        <w:tc>
          <w:tcPr>
            <w:tcW w:w="713" w:type="dxa"/>
            <w:vMerge/>
            <w:shd w:val="clear" w:color="auto" w:fill="2E74B5" w:themeFill="accent1" w:themeFillShade="BF"/>
          </w:tcPr>
          <w:p w:rsidR="004A119A" w:rsidRDefault="004A119A" w:rsidP="00243C60"/>
        </w:tc>
        <w:tc>
          <w:tcPr>
            <w:tcW w:w="2973" w:type="dxa"/>
            <w:shd w:val="clear" w:color="auto" w:fill="9CC2E5" w:themeFill="accent1" w:themeFillTint="99"/>
            <w:vAlign w:val="center"/>
          </w:tcPr>
          <w:p w:rsidR="004A119A" w:rsidRPr="00EF1A3D" w:rsidRDefault="004A119A" w:rsidP="004A119A">
            <w:pPr>
              <w:rPr>
                <w:b/>
              </w:rPr>
            </w:pPr>
            <w:proofErr w:type="spellStart"/>
            <w:r w:rsidRPr="00EF1A3D">
              <w:rPr>
                <w:b/>
              </w:rPr>
              <w:t>Proceduralization</w:t>
            </w:r>
            <w:proofErr w:type="spellEnd"/>
            <w:r w:rsidRPr="00EF1A3D">
              <w:rPr>
                <w:b/>
              </w:rPr>
              <w:t xml:space="preserve"> in </w:t>
            </w:r>
            <w:proofErr w:type="spellStart"/>
            <w:r w:rsidRPr="00EF1A3D">
              <w:rPr>
                <w:b/>
              </w:rPr>
              <w:t>scaffolded</w:t>
            </w:r>
            <w:proofErr w:type="spellEnd"/>
            <w:r w:rsidRPr="00EF1A3D">
              <w:rPr>
                <w:b/>
              </w:rPr>
              <w:t xml:space="preserve"> conditions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2E74B5" w:themeFill="accent1" w:themeFillShade="BF"/>
          </w:tcPr>
          <w:p w:rsidR="004A119A" w:rsidRDefault="004A119A" w:rsidP="00243C60"/>
        </w:tc>
        <w:tc>
          <w:tcPr>
            <w:tcW w:w="2966" w:type="dxa"/>
            <w:shd w:val="clear" w:color="auto" w:fill="9CC2E5" w:themeFill="accent1" w:themeFillTint="99"/>
            <w:vAlign w:val="center"/>
          </w:tcPr>
          <w:p w:rsidR="004A119A" w:rsidRPr="00EF1A3D" w:rsidRDefault="004A119A" w:rsidP="004A119A">
            <w:pPr>
              <w:rPr>
                <w:b/>
              </w:rPr>
            </w:pPr>
            <w:proofErr w:type="spellStart"/>
            <w:r w:rsidRPr="00EF1A3D">
              <w:rPr>
                <w:b/>
              </w:rPr>
              <w:t>Proceduralization</w:t>
            </w:r>
            <w:proofErr w:type="spellEnd"/>
            <w:r w:rsidRPr="00EF1A3D">
              <w:rPr>
                <w:b/>
              </w:rPr>
              <w:t xml:space="preserve"> in </w:t>
            </w:r>
            <w:proofErr w:type="spellStart"/>
            <w:r w:rsidRPr="00EF1A3D">
              <w:rPr>
                <w:b/>
              </w:rPr>
              <w:t>scaffolded</w:t>
            </w:r>
            <w:proofErr w:type="spellEnd"/>
            <w:r w:rsidRPr="00EF1A3D">
              <w:rPr>
                <w:b/>
              </w:rPr>
              <w:t xml:space="preserve"> conditions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rPr>
          <w:cantSplit/>
          <w:trHeight w:val="720"/>
        </w:trPr>
        <w:tc>
          <w:tcPr>
            <w:tcW w:w="713" w:type="dxa"/>
            <w:vMerge/>
            <w:shd w:val="clear" w:color="auto" w:fill="2E74B5" w:themeFill="accent1" w:themeFillShade="BF"/>
          </w:tcPr>
          <w:p w:rsidR="004A119A" w:rsidRDefault="004A119A" w:rsidP="00243C60"/>
        </w:tc>
        <w:tc>
          <w:tcPr>
            <w:tcW w:w="2973" w:type="dxa"/>
            <w:shd w:val="clear" w:color="auto" w:fill="5B9BD5" w:themeFill="accent1"/>
            <w:vAlign w:val="center"/>
          </w:tcPr>
          <w:p w:rsidR="004A119A" w:rsidRPr="00EF1A3D" w:rsidRDefault="004A119A" w:rsidP="004A119A">
            <w:pPr>
              <w:rPr>
                <w:b/>
              </w:rPr>
            </w:pPr>
            <w:r w:rsidRPr="00EF1A3D">
              <w:rPr>
                <w:b/>
              </w:rPr>
              <w:t>Performance in real-time context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2E74B5" w:themeFill="accent1" w:themeFillShade="BF"/>
          </w:tcPr>
          <w:p w:rsidR="004A119A" w:rsidRDefault="004A119A" w:rsidP="00243C60"/>
        </w:tc>
        <w:tc>
          <w:tcPr>
            <w:tcW w:w="2966" w:type="dxa"/>
            <w:shd w:val="clear" w:color="auto" w:fill="5B9BD5" w:themeFill="accent1"/>
            <w:vAlign w:val="center"/>
          </w:tcPr>
          <w:p w:rsidR="004A119A" w:rsidRPr="00EF1A3D" w:rsidRDefault="004A119A" w:rsidP="004A119A">
            <w:pPr>
              <w:rPr>
                <w:b/>
              </w:rPr>
            </w:pPr>
            <w:r w:rsidRPr="00EF1A3D">
              <w:rPr>
                <w:b/>
              </w:rPr>
              <w:t>Performance in real-time context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rPr>
          <w:cantSplit/>
          <w:trHeight w:val="1008"/>
        </w:trPr>
        <w:tc>
          <w:tcPr>
            <w:tcW w:w="713" w:type="dxa"/>
            <w:vMerge w:val="restart"/>
            <w:shd w:val="clear" w:color="auto" w:fill="ED7D31" w:themeFill="accent2"/>
            <w:textDirection w:val="btLr"/>
            <w:vAlign w:val="center"/>
          </w:tcPr>
          <w:p w:rsidR="004A119A" w:rsidRPr="00EF1A3D" w:rsidRDefault="004A119A" w:rsidP="004A119A">
            <w:pPr>
              <w:ind w:right="113"/>
              <w:jc w:val="center"/>
              <w:rPr>
                <w:b/>
                <w:sz w:val="28"/>
              </w:rPr>
            </w:pPr>
            <w:r w:rsidRPr="00EF1A3D">
              <w:rPr>
                <w:b/>
                <w:sz w:val="28"/>
              </w:rPr>
              <w:t>Pedagogical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 xml:space="preserve"> Principles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 xml:space="preserve"> and 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>Communicative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 xml:space="preserve"> Criteria</w:t>
            </w:r>
          </w:p>
        </w:tc>
        <w:tc>
          <w:tcPr>
            <w:tcW w:w="2973" w:type="dxa"/>
            <w:shd w:val="clear" w:color="auto" w:fill="F7CAAC" w:themeFill="accent2" w:themeFillTint="66"/>
            <w:vAlign w:val="center"/>
          </w:tcPr>
          <w:p w:rsidR="004A119A" w:rsidRDefault="004A119A" w:rsidP="00FC64CF">
            <w:r w:rsidRPr="00EF1A3D">
              <w:rPr>
                <w:b/>
              </w:rPr>
              <w:t xml:space="preserve">Depth of processing </w:t>
            </w:r>
            <w:r w:rsidRPr="00EF1A3D">
              <w:t xml:space="preserve">and </w:t>
            </w:r>
            <w:r w:rsidRPr="00EF1A3D">
              <w:rPr>
                <w:b/>
              </w:rPr>
              <w:t>Complex encoding</w:t>
            </w:r>
            <w:r>
              <w:t xml:space="preserve"> </w:t>
            </w:r>
            <w:r w:rsidR="00FC64CF">
              <w:t>: Will the learners be mentally active and process grammar, lexis and their “world knowledge”?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  <w:textDirection w:val="btLr"/>
          </w:tcPr>
          <w:p w:rsidR="004A119A" w:rsidRPr="00EF1A3D" w:rsidRDefault="004A119A" w:rsidP="00243C60">
            <w:pPr>
              <w:ind w:right="113"/>
              <w:rPr>
                <w:b/>
                <w:sz w:val="28"/>
              </w:rPr>
            </w:pPr>
          </w:p>
        </w:tc>
        <w:tc>
          <w:tcPr>
            <w:tcW w:w="297" w:type="dxa"/>
            <w:vMerge/>
            <w:shd w:val="clear" w:color="auto" w:fill="auto"/>
            <w:textDirection w:val="btLr"/>
          </w:tcPr>
          <w:p w:rsidR="004A119A" w:rsidRPr="00EF1A3D" w:rsidRDefault="004A119A" w:rsidP="00243C60">
            <w:pPr>
              <w:ind w:right="113"/>
              <w:rPr>
                <w:b/>
                <w:sz w:val="28"/>
              </w:rPr>
            </w:pPr>
          </w:p>
        </w:tc>
        <w:tc>
          <w:tcPr>
            <w:tcW w:w="720" w:type="dxa"/>
            <w:vMerge w:val="restart"/>
            <w:shd w:val="clear" w:color="auto" w:fill="ED7D31" w:themeFill="accent2"/>
            <w:textDirection w:val="btLr"/>
            <w:vAlign w:val="center"/>
          </w:tcPr>
          <w:p w:rsidR="004A119A" w:rsidRPr="00EF1A3D" w:rsidRDefault="004A119A" w:rsidP="004A119A">
            <w:pPr>
              <w:ind w:right="113"/>
              <w:jc w:val="center"/>
              <w:rPr>
                <w:b/>
                <w:sz w:val="28"/>
              </w:rPr>
            </w:pPr>
            <w:r w:rsidRPr="00EF1A3D">
              <w:rPr>
                <w:b/>
                <w:sz w:val="28"/>
              </w:rPr>
              <w:t>Pedagogical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 xml:space="preserve"> Principles 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>and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 xml:space="preserve"> Communicative </w:t>
            </w:r>
            <w:r w:rsidR="00FC64CF">
              <w:rPr>
                <w:b/>
                <w:sz w:val="28"/>
              </w:rPr>
              <w:t xml:space="preserve">  </w:t>
            </w:r>
            <w:r w:rsidRPr="00EF1A3D">
              <w:rPr>
                <w:b/>
                <w:sz w:val="28"/>
              </w:rPr>
              <w:t>Criteria</w:t>
            </w:r>
          </w:p>
        </w:tc>
        <w:tc>
          <w:tcPr>
            <w:tcW w:w="2966" w:type="dxa"/>
            <w:shd w:val="clear" w:color="auto" w:fill="F7CAAC" w:themeFill="accent2" w:themeFillTint="66"/>
            <w:vAlign w:val="center"/>
          </w:tcPr>
          <w:p w:rsidR="004A119A" w:rsidRDefault="00FC64CF" w:rsidP="004A119A">
            <w:r w:rsidRPr="00EF1A3D">
              <w:rPr>
                <w:b/>
              </w:rPr>
              <w:t xml:space="preserve">Depth of processing </w:t>
            </w:r>
            <w:r w:rsidRPr="00EF1A3D">
              <w:t xml:space="preserve">and </w:t>
            </w:r>
            <w:r w:rsidRPr="00EF1A3D">
              <w:rPr>
                <w:b/>
              </w:rPr>
              <w:t>Complex encoding</w:t>
            </w:r>
            <w:r>
              <w:t xml:space="preserve"> : Will the learners be mentally active and process grammar, lexis and their </w:t>
            </w:r>
            <w:r>
              <w:t>“</w:t>
            </w:r>
            <w:r>
              <w:t>world knowledge</w:t>
            </w:r>
            <w:r>
              <w:t>”</w:t>
            </w:r>
            <w:r>
              <w:t>?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c>
          <w:tcPr>
            <w:tcW w:w="713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73" w:type="dxa"/>
            <w:shd w:val="clear" w:color="auto" w:fill="F4B083" w:themeFill="accent2" w:themeFillTint="99"/>
            <w:vAlign w:val="center"/>
          </w:tcPr>
          <w:p w:rsidR="004A119A" w:rsidRDefault="004A119A" w:rsidP="004A119A">
            <w:pPr>
              <w:rPr>
                <w:b/>
              </w:rPr>
            </w:pPr>
            <w:r w:rsidRPr="0028087B">
              <w:rPr>
                <w:b/>
              </w:rPr>
              <w:t>Commitment filter</w:t>
            </w:r>
            <w:r>
              <w:rPr>
                <w:b/>
              </w:rPr>
              <w:t xml:space="preserve">: </w:t>
            </w:r>
          </w:p>
          <w:p w:rsidR="004A119A" w:rsidRDefault="004A119A" w:rsidP="004A119A">
            <w:r>
              <w:t xml:space="preserve">Will the </w:t>
            </w:r>
            <w:proofErr w:type="spellStart"/>
            <w:r>
              <w:t>learners`cognitive</w:t>
            </w:r>
            <w:proofErr w:type="spellEnd"/>
            <w:r>
              <w:t xml:space="preserve"> and affective needs be met? (e.g.: curiosity, problem solving, enjoyment, fun, success)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66" w:type="dxa"/>
            <w:shd w:val="clear" w:color="auto" w:fill="F4B083" w:themeFill="accent2" w:themeFillTint="99"/>
          </w:tcPr>
          <w:p w:rsidR="004A119A" w:rsidRDefault="004A119A" w:rsidP="00243C60">
            <w:pPr>
              <w:rPr>
                <w:b/>
              </w:rPr>
            </w:pPr>
            <w:r w:rsidRPr="0028087B">
              <w:rPr>
                <w:b/>
              </w:rPr>
              <w:t>Commitment filter</w:t>
            </w:r>
            <w:r>
              <w:rPr>
                <w:b/>
              </w:rPr>
              <w:t xml:space="preserve">: </w:t>
            </w:r>
          </w:p>
          <w:p w:rsidR="004A119A" w:rsidRDefault="004A119A" w:rsidP="00243C60">
            <w:r>
              <w:t xml:space="preserve">Will the </w:t>
            </w:r>
            <w:proofErr w:type="spellStart"/>
            <w:r>
              <w:t>learners`cognitive</w:t>
            </w:r>
            <w:proofErr w:type="spellEnd"/>
            <w:r>
              <w:t xml:space="preserve"> and affective needs be met? (e.g.: curiosity, problem solving, enjoyment, fun, success)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c>
          <w:tcPr>
            <w:tcW w:w="713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73" w:type="dxa"/>
            <w:shd w:val="clear" w:color="auto" w:fill="F7CAAC" w:themeFill="accent2" w:themeFillTint="66"/>
            <w:vAlign w:val="center"/>
          </w:tcPr>
          <w:p w:rsidR="004A119A" w:rsidRDefault="004A119A" w:rsidP="004A119A">
            <w:pPr>
              <w:rPr>
                <w:b/>
              </w:rPr>
            </w:pPr>
            <w:r w:rsidRPr="0028087B">
              <w:rPr>
                <w:b/>
              </w:rPr>
              <w:t>Peer and social learning</w:t>
            </w:r>
            <w:r>
              <w:t xml:space="preserve"> </w:t>
            </w:r>
            <w:r w:rsidRPr="0028087B">
              <w:rPr>
                <w:b/>
              </w:rPr>
              <w:t>and interaction</w:t>
            </w:r>
            <w:r>
              <w:rPr>
                <w:b/>
              </w:rPr>
              <w:t>:</w:t>
            </w:r>
          </w:p>
          <w:p w:rsidR="004A119A" w:rsidRDefault="004A119A" w:rsidP="004A119A">
            <w:r>
              <w:t xml:space="preserve">Pair – or </w:t>
            </w:r>
            <w:proofErr w:type="spellStart"/>
            <w:r>
              <w:t>groupwork</w:t>
            </w:r>
            <w:proofErr w:type="spellEnd"/>
            <w:r>
              <w:t>, sharing, oral activities, jigsaw activities…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66" w:type="dxa"/>
            <w:shd w:val="clear" w:color="auto" w:fill="F7CAAC" w:themeFill="accent2" w:themeFillTint="66"/>
          </w:tcPr>
          <w:p w:rsidR="004A119A" w:rsidRDefault="004A119A" w:rsidP="00243C60">
            <w:pPr>
              <w:rPr>
                <w:b/>
              </w:rPr>
            </w:pPr>
            <w:r w:rsidRPr="0028087B">
              <w:rPr>
                <w:b/>
              </w:rPr>
              <w:t>Peer and social learning</w:t>
            </w:r>
            <w:r>
              <w:t xml:space="preserve"> </w:t>
            </w:r>
            <w:r w:rsidRPr="0028087B">
              <w:rPr>
                <w:b/>
              </w:rPr>
              <w:t>and interaction</w:t>
            </w:r>
            <w:r>
              <w:rPr>
                <w:b/>
              </w:rPr>
              <w:t>:</w:t>
            </w:r>
          </w:p>
          <w:p w:rsidR="004A119A" w:rsidRDefault="004A119A" w:rsidP="00243C60">
            <w:r>
              <w:t xml:space="preserve">Pair – or </w:t>
            </w:r>
            <w:proofErr w:type="spellStart"/>
            <w:r>
              <w:t>groupwork</w:t>
            </w:r>
            <w:proofErr w:type="spellEnd"/>
            <w:r>
              <w:t>, sharing, oral activities, jigsaw activities…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c>
          <w:tcPr>
            <w:tcW w:w="713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73" w:type="dxa"/>
            <w:shd w:val="clear" w:color="auto" w:fill="F4B083" w:themeFill="accent2" w:themeFillTint="99"/>
            <w:vAlign w:val="center"/>
          </w:tcPr>
          <w:p w:rsidR="004A119A" w:rsidRDefault="004A119A" w:rsidP="004A119A">
            <w:proofErr w:type="spellStart"/>
            <w:r w:rsidRPr="0028087B">
              <w:rPr>
                <w:b/>
              </w:rPr>
              <w:t>Personalisation</w:t>
            </w:r>
            <w:proofErr w:type="spellEnd"/>
            <w:r w:rsidRPr="0028087B">
              <w:rPr>
                <w:b/>
              </w:rPr>
              <w:t>:</w:t>
            </w:r>
            <w:r>
              <w:t xml:space="preserve"> </w:t>
            </w:r>
          </w:p>
          <w:p w:rsidR="004A119A" w:rsidRDefault="004A119A" w:rsidP="004A119A">
            <w:r>
              <w:t>Do the learners have the opportunity to draw on their personal experiences and express their own ideas?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66" w:type="dxa"/>
            <w:shd w:val="clear" w:color="auto" w:fill="F4B083" w:themeFill="accent2" w:themeFillTint="99"/>
          </w:tcPr>
          <w:p w:rsidR="004A119A" w:rsidRDefault="004A119A" w:rsidP="00243C60">
            <w:proofErr w:type="spellStart"/>
            <w:r w:rsidRPr="0028087B">
              <w:rPr>
                <w:b/>
              </w:rPr>
              <w:t>Personalisation</w:t>
            </w:r>
            <w:proofErr w:type="spellEnd"/>
            <w:r w:rsidRPr="0028087B">
              <w:rPr>
                <w:b/>
              </w:rPr>
              <w:t>:</w:t>
            </w:r>
            <w:r>
              <w:t xml:space="preserve"> </w:t>
            </w:r>
          </w:p>
          <w:p w:rsidR="004A119A" w:rsidRDefault="004A119A" w:rsidP="00243C60">
            <w:r>
              <w:t>Do the learners have the opportunity to draw on their personal experiences and express their own ideas?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rPr>
          <w:trHeight w:val="1008"/>
        </w:trPr>
        <w:tc>
          <w:tcPr>
            <w:tcW w:w="713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73" w:type="dxa"/>
            <w:shd w:val="clear" w:color="auto" w:fill="F7CAAC" w:themeFill="accent2" w:themeFillTint="66"/>
            <w:vAlign w:val="center"/>
          </w:tcPr>
          <w:p w:rsidR="004A119A" w:rsidRDefault="004A119A" w:rsidP="004A119A">
            <w:proofErr w:type="spellStart"/>
            <w:r w:rsidRPr="0028087B">
              <w:rPr>
                <w:b/>
              </w:rPr>
              <w:t>Contextualisation</w:t>
            </w:r>
            <w:proofErr w:type="spellEnd"/>
            <w:r w:rsidRPr="0028087B">
              <w:rPr>
                <w:b/>
              </w:rPr>
              <w:t>:</w:t>
            </w:r>
            <w:r>
              <w:t xml:space="preserve"> </w:t>
            </w:r>
          </w:p>
          <w:p w:rsidR="004A119A" w:rsidRDefault="004A119A" w:rsidP="00FC64CF">
            <w:r>
              <w:t>Is the exercise embedded in a clear communicative context</w:t>
            </w:r>
            <w:r w:rsidR="00FC64CF">
              <w:t>?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66" w:type="dxa"/>
            <w:shd w:val="clear" w:color="auto" w:fill="F7CAAC" w:themeFill="accent2" w:themeFillTint="66"/>
            <w:vAlign w:val="center"/>
          </w:tcPr>
          <w:p w:rsidR="004A119A" w:rsidRDefault="004A119A" w:rsidP="004A119A">
            <w:proofErr w:type="spellStart"/>
            <w:r w:rsidRPr="0028087B">
              <w:rPr>
                <w:b/>
              </w:rPr>
              <w:t>Contextualisation</w:t>
            </w:r>
            <w:proofErr w:type="spellEnd"/>
            <w:r w:rsidRPr="0028087B">
              <w:rPr>
                <w:b/>
              </w:rPr>
              <w:t>:</w:t>
            </w:r>
            <w:r>
              <w:t xml:space="preserve"> </w:t>
            </w:r>
          </w:p>
          <w:p w:rsidR="004A119A" w:rsidRDefault="004A119A" w:rsidP="00FC64CF">
            <w:r>
              <w:t>Is the exercise embedded in a clear communicative context</w:t>
            </w:r>
            <w:r w:rsidR="00FC64CF">
              <w:t>?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c>
          <w:tcPr>
            <w:tcW w:w="713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73" w:type="dxa"/>
            <w:shd w:val="clear" w:color="auto" w:fill="F4B083" w:themeFill="accent2" w:themeFillTint="99"/>
            <w:vAlign w:val="center"/>
          </w:tcPr>
          <w:p w:rsidR="004A119A" w:rsidRPr="00EF1A3D" w:rsidRDefault="004A119A" w:rsidP="004A119A">
            <w:pPr>
              <w:rPr>
                <w:b/>
              </w:rPr>
            </w:pPr>
            <w:r w:rsidRPr="00EF1A3D">
              <w:rPr>
                <w:b/>
              </w:rPr>
              <w:t>Authenticity of process:</w:t>
            </w:r>
          </w:p>
          <w:p w:rsidR="004A119A" w:rsidRPr="00EF1A3D" w:rsidRDefault="004A119A" w:rsidP="004A119A">
            <w:r>
              <w:t>Will the learners use language in natural, “language-like” ways (rather than manipulate forms)?</w:t>
            </w:r>
          </w:p>
        </w:tc>
        <w:tc>
          <w:tcPr>
            <w:tcW w:w="620" w:type="dxa"/>
          </w:tcPr>
          <w:p w:rsidR="004A119A" w:rsidRPr="00EF1A3D" w:rsidRDefault="004A119A" w:rsidP="00243C60">
            <w:pPr>
              <w:rPr>
                <w:b/>
              </w:rPr>
            </w:pPr>
          </w:p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66" w:type="dxa"/>
            <w:shd w:val="clear" w:color="auto" w:fill="F4B083" w:themeFill="accent2" w:themeFillTint="99"/>
          </w:tcPr>
          <w:p w:rsidR="004A119A" w:rsidRPr="00EF1A3D" w:rsidRDefault="004A119A" w:rsidP="00243C60">
            <w:pPr>
              <w:rPr>
                <w:b/>
              </w:rPr>
            </w:pPr>
            <w:r w:rsidRPr="00EF1A3D">
              <w:rPr>
                <w:b/>
              </w:rPr>
              <w:t>Authenticity of process:</w:t>
            </w:r>
          </w:p>
          <w:p w:rsidR="004A119A" w:rsidRPr="00EF1A3D" w:rsidRDefault="004A119A" w:rsidP="00243C60">
            <w:r>
              <w:t>Will the learners use language in natural, “language-like” ways (rather than manipulate forms)?</w:t>
            </w:r>
          </w:p>
        </w:tc>
        <w:tc>
          <w:tcPr>
            <w:tcW w:w="634" w:type="dxa"/>
          </w:tcPr>
          <w:p w:rsidR="004A119A" w:rsidRPr="00EF1A3D" w:rsidRDefault="004A119A" w:rsidP="00243C60">
            <w:pPr>
              <w:rPr>
                <w:b/>
              </w:rPr>
            </w:pP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c>
          <w:tcPr>
            <w:tcW w:w="713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73" w:type="dxa"/>
            <w:shd w:val="clear" w:color="auto" w:fill="F7CAAC" w:themeFill="accent2" w:themeFillTint="66"/>
            <w:vAlign w:val="center"/>
          </w:tcPr>
          <w:p w:rsidR="004A119A" w:rsidRDefault="004A119A" w:rsidP="004A119A">
            <w:r w:rsidRPr="00EF1A3D">
              <w:rPr>
                <w:b/>
              </w:rPr>
              <w:t>Task-based:</w:t>
            </w:r>
            <w:r>
              <w:t xml:space="preserve"> </w:t>
            </w:r>
          </w:p>
          <w:p w:rsidR="004A119A" w:rsidRDefault="004A119A" w:rsidP="004A119A">
            <w:r>
              <w:t>Do the students fulfil a purposeful task that will have an outcome or end product?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66" w:type="dxa"/>
            <w:shd w:val="clear" w:color="auto" w:fill="F7CAAC" w:themeFill="accent2" w:themeFillTint="66"/>
          </w:tcPr>
          <w:p w:rsidR="004A119A" w:rsidRDefault="004A119A" w:rsidP="00243C60">
            <w:r w:rsidRPr="00EF1A3D">
              <w:rPr>
                <w:b/>
              </w:rPr>
              <w:t>Task-based:</w:t>
            </w:r>
            <w:r>
              <w:t xml:space="preserve"> </w:t>
            </w:r>
          </w:p>
          <w:p w:rsidR="004A119A" w:rsidRDefault="004A119A" w:rsidP="00243C60">
            <w:r>
              <w:t>Do the students fulfil a purposeful task that will have an outcome or end product?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A44D3F" w:rsidTr="00E05873">
        <w:trPr>
          <w:trHeight w:val="1008"/>
        </w:trPr>
        <w:tc>
          <w:tcPr>
            <w:tcW w:w="713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73" w:type="dxa"/>
            <w:shd w:val="clear" w:color="auto" w:fill="F4B083" w:themeFill="accent2" w:themeFillTint="99"/>
            <w:vAlign w:val="center"/>
          </w:tcPr>
          <w:p w:rsidR="004A119A" w:rsidRPr="00EF1A3D" w:rsidRDefault="004A119A" w:rsidP="004A119A">
            <w:pPr>
              <w:rPr>
                <w:b/>
              </w:rPr>
            </w:pPr>
            <w:r w:rsidRPr="00EF1A3D">
              <w:rPr>
                <w:b/>
              </w:rPr>
              <w:t>Testing versus teaching:</w:t>
            </w:r>
          </w:p>
          <w:p w:rsidR="004A119A" w:rsidRDefault="004A119A" w:rsidP="00FC64CF">
            <w:r>
              <w:t>Does the exercise support learning or only test it?</w:t>
            </w:r>
          </w:p>
        </w:tc>
        <w:tc>
          <w:tcPr>
            <w:tcW w:w="620" w:type="dxa"/>
          </w:tcPr>
          <w:p w:rsidR="004A119A" w:rsidRDefault="004A119A" w:rsidP="00243C60"/>
        </w:tc>
        <w:tc>
          <w:tcPr>
            <w:tcW w:w="621" w:type="dxa"/>
          </w:tcPr>
          <w:p w:rsidR="004A119A" w:rsidRDefault="004A119A" w:rsidP="00243C60"/>
        </w:tc>
        <w:tc>
          <w:tcPr>
            <w:tcW w:w="622" w:type="dxa"/>
          </w:tcPr>
          <w:p w:rsidR="004A119A" w:rsidRDefault="004A119A" w:rsidP="00243C60"/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/>
        </w:tc>
        <w:tc>
          <w:tcPr>
            <w:tcW w:w="720" w:type="dxa"/>
            <w:vMerge/>
            <w:shd w:val="clear" w:color="auto" w:fill="ED7D31" w:themeFill="accent2"/>
          </w:tcPr>
          <w:p w:rsidR="004A119A" w:rsidRDefault="004A119A" w:rsidP="00243C60"/>
        </w:tc>
        <w:tc>
          <w:tcPr>
            <w:tcW w:w="2966" w:type="dxa"/>
            <w:shd w:val="clear" w:color="auto" w:fill="F4B083" w:themeFill="accent2" w:themeFillTint="99"/>
            <w:vAlign w:val="center"/>
          </w:tcPr>
          <w:p w:rsidR="004A119A" w:rsidRPr="00EF1A3D" w:rsidRDefault="004A119A" w:rsidP="00FC64CF">
            <w:pPr>
              <w:rPr>
                <w:b/>
              </w:rPr>
            </w:pPr>
            <w:r w:rsidRPr="00EF1A3D">
              <w:rPr>
                <w:b/>
              </w:rPr>
              <w:t>Testing versus teaching:</w:t>
            </w:r>
          </w:p>
          <w:p w:rsidR="004A119A" w:rsidRDefault="004A119A" w:rsidP="00FC64CF">
            <w:r>
              <w:t>Does the exercise support learning or only test it?</w:t>
            </w:r>
          </w:p>
        </w:tc>
        <w:tc>
          <w:tcPr>
            <w:tcW w:w="634" w:type="dxa"/>
          </w:tcPr>
          <w:p w:rsidR="004A119A" w:rsidRDefault="004A119A" w:rsidP="00243C60"/>
        </w:tc>
        <w:tc>
          <w:tcPr>
            <w:tcW w:w="634" w:type="dxa"/>
          </w:tcPr>
          <w:p w:rsidR="004A119A" w:rsidRDefault="004A119A" w:rsidP="00243C60"/>
        </w:tc>
        <w:tc>
          <w:tcPr>
            <w:tcW w:w="630" w:type="dxa"/>
          </w:tcPr>
          <w:p w:rsidR="004A119A" w:rsidRDefault="004A119A" w:rsidP="00243C60"/>
        </w:tc>
      </w:tr>
      <w:tr w:rsidR="004A119A" w:rsidTr="00E05873">
        <w:trPr>
          <w:trHeight w:val="634"/>
        </w:trPr>
        <w:tc>
          <w:tcPr>
            <w:tcW w:w="3686" w:type="dxa"/>
            <w:gridSpan w:val="2"/>
            <w:shd w:val="clear" w:color="auto" w:fill="FFC000" w:themeFill="accent4"/>
          </w:tcPr>
          <w:p w:rsidR="004A119A" w:rsidRDefault="004A119A" w:rsidP="00FC64CF">
            <w:r w:rsidRPr="00243C60">
              <w:rPr>
                <w:rFonts w:ascii="Arial" w:hAnsi="Arial" w:cs="Arial"/>
                <w:b/>
              </w:rPr>
              <w:t>This exercise supports learning processes…</w:t>
            </w:r>
          </w:p>
        </w:tc>
        <w:tc>
          <w:tcPr>
            <w:tcW w:w="620" w:type="dxa"/>
            <w:shd w:val="clear" w:color="auto" w:fill="FFC000" w:themeFill="accent4"/>
            <w:vAlign w:val="center"/>
          </w:tcPr>
          <w:p w:rsidR="004A119A" w:rsidRDefault="004A119A" w:rsidP="00243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20B818" wp14:editId="5643653B">
                  <wp:extent cx="273310" cy="2590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52" cy="261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" w:type="dxa"/>
            <w:shd w:val="clear" w:color="auto" w:fill="FFC000" w:themeFill="accent4"/>
            <w:vAlign w:val="center"/>
          </w:tcPr>
          <w:p w:rsidR="004A119A" w:rsidRDefault="004A119A" w:rsidP="00243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8F7394" wp14:editId="0451EB3B">
                  <wp:extent cx="281305" cy="266659"/>
                  <wp:effectExtent l="0" t="0" r="4445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77" cy="26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" w:type="dxa"/>
            <w:shd w:val="clear" w:color="auto" w:fill="FFC000" w:themeFill="accent4"/>
            <w:vAlign w:val="center"/>
          </w:tcPr>
          <w:p w:rsidR="004A119A" w:rsidRDefault="004A119A" w:rsidP="004A119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5B9F0A7" wp14:editId="595215AD">
                  <wp:extent cx="273311" cy="25908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24" cy="264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" w:type="dxa"/>
            <w:vMerge/>
            <w:shd w:val="clear" w:color="auto" w:fill="auto"/>
          </w:tcPr>
          <w:p w:rsidR="004A119A" w:rsidRDefault="004A119A" w:rsidP="00243C60">
            <w:pPr>
              <w:jc w:val="center"/>
              <w:rPr>
                <w:noProof/>
              </w:rPr>
            </w:pPr>
          </w:p>
        </w:tc>
        <w:tc>
          <w:tcPr>
            <w:tcW w:w="3686" w:type="dxa"/>
            <w:gridSpan w:val="2"/>
            <w:shd w:val="clear" w:color="auto" w:fill="FFC000" w:themeFill="accent4"/>
            <w:vAlign w:val="center"/>
          </w:tcPr>
          <w:p w:rsidR="004A119A" w:rsidRDefault="004A119A" w:rsidP="00FC64CF">
            <w:r w:rsidRPr="00243C60">
              <w:rPr>
                <w:rFonts w:ascii="Arial" w:hAnsi="Arial" w:cs="Arial"/>
                <w:b/>
              </w:rPr>
              <w:t>This exercise supports learning processes…</w:t>
            </w:r>
          </w:p>
        </w:tc>
        <w:tc>
          <w:tcPr>
            <w:tcW w:w="634" w:type="dxa"/>
            <w:shd w:val="clear" w:color="auto" w:fill="FFC000" w:themeFill="accent4"/>
            <w:vAlign w:val="center"/>
          </w:tcPr>
          <w:p w:rsidR="004A119A" w:rsidRDefault="004A119A" w:rsidP="00243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1673FA" wp14:editId="216C0767">
                  <wp:extent cx="273310" cy="2590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52" cy="2618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dxa"/>
            <w:shd w:val="clear" w:color="auto" w:fill="FFC000" w:themeFill="accent4"/>
            <w:vAlign w:val="center"/>
          </w:tcPr>
          <w:p w:rsidR="004A119A" w:rsidRDefault="004A119A" w:rsidP="00243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864BC21" wp14:editId="5B92234A">
                  <wp:extent cx="281305" cy="266659"/>
                  <wp:effectExtent l="0" t="0" r="4445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77" cy="269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" w:type="dxa"/>
            <w:shd w:val="clear" w:color="auto" w:fill="FFC000" w:themeFill="accent4"/>
            <w:vAlign w:val="center"/>
          </w:tcPr>
          <w:p w:rsidR="004A119A" w:rsidRDefault="004A119A" w:rsidP="00243C6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060BDE7" wp14:editId="6A620F99">
                  <wp:extent cx="273311" cy="259080"/>
                  <wp:effectExtent l="0" t="0" r="0" b="762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24" cy="2641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32986" w:rsidRDefault="00332986" w:rsidP="00FC64CF"/>
    <w:sectPr w:rsidR="00332986" w:rsidSect="00FC64CF">
      <w:pgSz w:w="12240" w:h="15840"/>
      <w:pgMar w:top="63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A8"/>
    <w:rsid w:val="00243C60"/>
    <w:rsid w:val="0028087B"/>
    <w:rsid w:val="00332986"/>
    <w:rsid w:val="004A119A"/>
    <w:rsid w:val="007D59FE"/>
    <w:rsid w:val="00985DA8"/>
    <w:rsid w:val="00A44D3F"/>
    <w:rsid w:val="00E05873"/>
    <w:rsid w:val="00EF1A3D"/>
    <w:rsid w:val="00F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EEE3B"/>
  <w15:chartTrackingRefBased/>
  <w15:docId w15:val="{FD92EB83-F3BA-4774-AF6C-F98B359D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2016-06-19T10:31:00Z</dcterms:created>
  <dcterms:modified xsi:type="dcterms:W3CDTF">2016-06-19T11:48:00Z</dcterms:modified>
</cp:coreProperties>
</file>