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28B2D" w14:textId="0821A146" w:rsidR="00B71135" w:rsidRDefault="00B71135" w:rsidP="00B71135">
      <w:pPr>
        <w:pStyle w:val="Literaturverzeichnis1"/>
        <w:rPr>
          <w:b/>
          <w:bCs/>
        </w:rPr>
      </w:pPr>
      <w:r>
        <w:rPr>
          <w:b/>
          <w:bCs/>
        </w:rPr>
        <w:t xml:space="preserve">Short Bio </w:t>
      </w:r>
    </w:p>
    <w:p w14:paraId="04E21432" w14:textId="77777777" w:rsidR="00B71135" w:rsidRDefault="00B71135" w:rsidP="00B71135">
      <w:pPr>
        <w:pStyle w:val="Literaturverzeichnis1"/>
      </w:pPr>
    </w:p>
    <w:p w14:paraId="702D6348" w14:textId="6C9A8268" w:rsidR="00B71135" w:rsidRDefault="00B71135" w:rsidP="00B71135">
      <w:pPr>
        <w:pStyle w:val="Literaturverzeichnis1"/>
      </w:pPr>
    </w:p>
    <w:p w14:paraId="7E89C5DD" w14:textId="0678B9AE" w:rsidR="003C42E3" w:rsidRDefault="003C42E3" w:rsidP="00B71135">
      <w:pPr>
        <w:pStyle w:val="Literaturverzeichnis1"/>
      </w:pPr>
    </w:p>
    <w:p w14:paraId="78D3C004" w14:textId="77777777" w:rsidR="003C42E3" w:rsidRPr="00160FBD" w:rsidRDefault="003C42E3" w:rsidP="003C42E3">
      <w:pPr>
        <w:rPr>
          <w:b/>
          <w:bCs/>
          <w:lang w:val="de-DE"/>
        </w:rPr>
      </w:pPr>
      <w:r w:rsidRPr="00160FBD">
        <w:rPr>
          <w:b/>
          <w:bCs/>
          <w:lang w:val="de-DE"/>
        </w:rPr>
        <w:t>Short-Bio:</w:t>
      </w:r>
    </w:p>
    <w:p w14:paraId="6E7A5682" w14:textId="77777777" w:rsidR="003C42E3" w:rsidRPr="00D05F39" w:rsidRDefault="003C42E3" w:rsidP="003C42E3">
      <w:pPr>
        <w:rPr>
          <w:lang w:val="de-DE"/>
        </w:rPr>
      </w:pPr>
      <w:r>
        <w:rPr>
          <w:lang w:val="de-DE"/>
        </w:rPr>
        <w:t xml:space="preserve">Elisabeth Pölzleitner ist Englischlehrerin mit langjähriger Erfahrung an AHS, BHS und MS. Sie unterrichtet außerdem fachdidaktische Lehrveranstaltungen an der Uni-Graz und der PH-Steiermark sowie Fortbildungsseminare im In- und Ausland. Ihr besonderes Interesse gilt der Literaturdidaktik, gehirngerechtem Sprachenlernen, kommunikativem Grammatikunterricht, kreativem Schreiben und dem sinnvollen Einsatz digitaler Medien im Sprachunterricht. Viele ihrer Ideen und Materialien für kreativen Sprachunterricht sind auf der Website </w:t>
      </w:r>
      <w:hyperlink r:id="rId4" w:history="1">
        <w:r w:rsidRPr="00664780">
          <w:rPr>
            <w:rStyle w:val="Hyperlink"/>
            <w:lang w:val="de-DE"/>
          </w:rPr>
          <w:t>https://epep.at</w:t>
        </w:r>
      </w:hyperlink>
      <w:r>
        <w:rPr>
          <w:lang w:val="de-DE"/>
        </w:rPr>
        <w:t xml:space="preserve"> zu finden.</w:t>
      </w:r>
    </w:p>
    <w:p w14:paraId="60780E91" w14:textId="77777777" w:rsidR="003C42E3" w:rsidRPr="003C42E3" w:rsidRDefault="003C42E3" w:rsidP="00B71135">
      <w:pPr>
        <w:pStyle w:val="Literaturverzeichnis1"/>
        <w:rPr>
          <w:lang w:val="de-DE"/>
        </w:rPr>
      </w:pPr>
    </w:p>
    <w:p w14:paraId="1846A5F0" w14:textId="77777777" w:rsidR="00B71135" w:rsidRPr="003C42E3" w:rsidRDefault="00B71135" w:rsidP="00B71135">
      <w:pPr>
        <w:pStyle w:val="Literaturverzeichnis1"/>
        <w:rPr>
          <w:lang w:val="de-DE"/>
        </w:rPr>
      </w:pPr>
    </w:p>
    <w:p w14:paraId="6958A780" w14:textId="77777777" w:rsidR="00B71135" w:rsidRDefault="00B71135" w:rsidP="00B71135">
      <w:pPr>
        <w:pStyle w:val="Literaturverzeichnis1"/>
        <w:rPr>
          <w:color w:val="FF0000"/>
        </w:rPr>
      </w:pPr>
      <w:r>
        <w:rPr>
          <w:b/>
          <w:bCs/>
        </w:rPr>
        <w:t>Lis Pölzleitner</w:t>
      </w:r>
      <w:r>
        <w:t xml:space="preserve"> teaches English at secondary school in Austria as well as methodology classes and in-service seminars at the University of Graz and the University College of Teacher Education, Styria. Her main areas of interest are extensive reading, brain-friendly language teaching, creative approaches to teaching writing, cognitive-communicative grammar and the use of technology in language teaching.</w:t>
      </w:r>
    </w:p>
    <w:p w14:paraId="65C79436" w14:textId="77777777" w:rsidR="00B71135" w:rsidRDefault="00B71135"/>
    <w:p w14:paraId="3FFABE31" w14:textId="77777777" w:rsidR="00B71135" w:rsidRDefault="00B71135"/>
    <w:p w14:paraId="0A6B1CD6" w14:textId="77777777" w:rsidR="00B71135" w:rsidRDefault="00B71135"/>
    <w:p w14:paraId="4F2EC9BC" w14:textId="115F2715" w:rsidR="00670AC2" w:rsidRDefault="00670AC2">
      <w:r>
        <w:t>Elisabeth Pölzleitner teaches English at the Graz International Bilingual School as well as methodology classes for future teachers of English at Graz University. Moreover she regularly holds workshops for language teachers at teacher training colleges (</w:t>
      </w:r>
      <w:proofErr w:type="spellStart"/>
      <w:r>
        <w:t>Pädagogische</w:t>
      </w:r>
      <w:proofErr w:type="spellEnd"/>
      <w:r>
        <w:t xml:space="preserve"> </w:t>
      </w:r>
      <w:proofErr w:type="spellStart"/>
      <w:r>
        <w:t>Hochschulen</w:t>
      </w:r>
      <w:proofErr w:type="spellEnd"/>
      <w:r>
        <w:t xml:space="preserve">) in Austria. </w:t>
      </w:r>
    </w:p>
    <w:p w14:paraId="50FE1434" w14:textId="77777777" w:rsidR="00670AC2" w:rsidRDefault="00670AC2">
      <w:r>
        <w:t>Her main areas of interest are pedagogical grammar for teachers, creative writing, extensive reading and brain-friendly language teaching.</w:t>
      </w:r>
    </w:p>
    <w:p w14:paraId="3E59DFBD" w14:textId="77777777" w:rsidR="00670AC2" w:rsidRDefault="00670AC2"/>
    <w:p w14:paraId="18E92F21" w14:textId="77777777" w:rsidR="00670AC2" w:rsidRDefault="00670AC2"/>
    <w:p w14:paraId="44C1B3D2" w14:textId="77777777" w:rsidR="00EE6BEF" w:rsidRDefault="0003266A">
      <w:r w:rsidRPr="0003266A">
        <w:t>Elisabe</w:t>
      </w:r>
      <w:r>
        <w:t xml:space="preserve">th Poelzleitner teaches English </w:t>
      </w:r>
      <w:r w:rsidRPr="0003266A">
        <w:t>at a bilingual secondary school in Austria</w:t>
      </w:r>
      <w:r>
        <w:t xml:space="preserve"> as well as methodology classes for future teachers of English at Graz university. Moreover she works as a teacher trainer, giving in-service seminars on a variety of </w:t>
      </w:r>
    </w:p>
    <w:p w14:paraId="561C46EB" w14:textId="77777777" w:rsidR="0003266A" w:rsidRDefault="0003266A"/>
    <w:p w14:paraId="15D99817" w14:textId="77777777" w:rsidR="0003266A" w:rsidRPr="0003266A" w:rsidRDefault="0003266A" w:rsidP="0003266A">
      <w:pPr>
        <w:shd w:val="clear" w:color="auto" w:fill="FFFFFF"/>
        <w:spacing w:line="270" w:lineRule="atLeast"/>
        <w:jc w:val="left"/>
        <w:outlineLvl w:val="1"/>
        <w:rPr>
          <w:rFonts w:ascii="Arial" w:eastAsia="Times New Roman" w:hAnsi="Arial" w:cs="Arial"/>
          <w:b/>
          <w:bCs/>
          <w:color w:val="003366"/>
        </w:rPr>
      </w:pPr>
      <w:r w:rsidRPr="0003266A">
        <w:rPr>
          <w:rFonts w:ascii="Arial" w:eastAsia="Times New Roman" w:hAnsi="Arial" w:cs="Arial"/>
          <w:b/>
          <w:bCs/>
          <w:color w:val="003366"/>
        </w:rPr>
        <w:t>Current Functions and Responsibilities:</w:t>
      </w:r>
    </w:p>
    <w:p w14:paraId="57AC615A" w14:textId="77777777" w:rsidR="0003266A" w:rsidRPr="0003266A" w:rsidRDefault="0003266A" w:rsidP="0003266A">
      <w:pPr>
        <w:jc w:val="left"/>
        <w:rPr>
          <w:rFonts w:ascii="Times New Roman" w:eastAsia="Times New Roman" w:hAnsi="Times New Roman" w:cs="Times New Roman"/>
          <w:sz w:val="24"/>
          <w:szCs w:val="24"/>
        </w:rPr>
      </w:pPr>
      <w:r w:rsidRPr="0003266A">
        <w:rPr>
          <w:rFonts w:ascii="Arial" w:eastAsia="Times New Roman" w:hAnsi="Arial" w:cs="Arial"/>
          <w:color w:val="333333"/>
          <w:sz w:val="18"/>
          <w:szCs w:val="18"/>
        </w:rPr>
        <w:br/>
      </w:r>
    </w:p>
    <w:p w14:paraId="0B1F9FFA" w14:textId="77777777" w:rsidR="0003266A" w:rsidRPr="0003266A" w:rsidRDefault="0003266A" w:rsidP="0003266A">
      <w:pPr>
        <w:shd w:val="clear" w:color="auto" w:fill="FFFFFF"/>
        <w:spacing w:after="240" w:line="270" w:lineRule="atLeast"/>
        <w:jc w:val="left"/>
        <w:rPr>
          <w:rFonts w:ascii="Arial" w:eastAsia="Times New Roman" w:hAnsi="Arial" w:cs="Arial"/>
          <w:color w:val="333333"/>
          <w:sz w:val="18"/>
          <w:szCs w:val="18"/>
        </w:rPr>
      </w:pPr>
      <w:r w:rsidRPr="0003266A">
        <w:rPr>
          <w:rFonts w:ascii="Arial" w:eastAsia="Times New Roman" w:hAnsi="Arial" w:cs="Arial"/>
          <w:b/>
          <w:bCs/>
          <w:color w:val="333333"/>
          <w:sz w:val="18"/>
          <w:szCs w:val="18"/>
        </w:rPr>
        <w:t>Research and teaching staff </w:t>
      </w:r>
      <w:r w:rsidRPr="0003266A">
        <w:rPr>
          <w:rFonts w:ascii="Arial" w:eastAsia="Times New Roman" w:hAnsi="Arial" w:cs="Arial"/>
          <w:color w:val="333333"/>
          <w:sz w:val="18"/>
          <w:szCs w:val="18"/>
        </w:rPr>
        <w:t>at the Department of English studies, Section ELT Research and Methodology, Graz University,</w:t>
      </w:r>
      <w:r w:rsidRPr="0003266A">
        <w:rPr>
          <w:rFonts w:ascii="Arial" w:eastAsia="Times New Roman" w:hAnsi="Arial" w:cs="Arial"/>
          <w:color w:val="333333"/>
          <w:sz w:val="18"/>
          <w:szCs w:val="18"/>
        </w:rPr>
        <w:br/>
      </w:r>
      <w:r w:rsidRPr="0003266A">
        <w:rPr>
          <w:rFonts w:ascii="Arial" w:eastAsia="Times New Roman" w:hAnsi="Arial" w:cs="Arial"/>
          <w:b/>
          <w:bCs/>
          <w:color w:val="333333"/>
          <w:sz w:val="18"/>
          <w:szCs w:val="18"/>
        </w:rPr>
        <w:t>ESL teacher at </w:t>
      </w:r>
      <w:hyperlink r:id="rId5" w:tooltip="www.gibs.at" w:history="1">
        <w:r w:rsidRPr="0003266A">
          <w:rPr>
            <w:rFonts w:ascii="Arial" w:eastAsia="Times New Roman" w:hAnsi="Arial" w:cs="Arial"/>
            <w:color w:val="003366"/>
            <w:sz w:val="18"/>
            <w:szCs w:val="18"/>
          </w:rPr>
          <w:t>BG GIBS</w:t>
        </w:r>
      </w:hyperlink>
      <w:r w:rsidRPr="0003266A">
        <w:rPr>
          <w:rFonts w:ascii="Arial" w:eastAsia="Times New Roman" w:hAnsi="Arial" w:cs="Arial"/>
          <w:color w:val="333333"/>
          <w:sz w:val="18"/>
          <w:szCs w:val="18"/>
        </w:rPr>
        <w:t>, Graz</w:t>
      </w:r>
      <w:r w:rsidRPr="0003266A">
        <w:rPr>
          <w:rFonts w:ascii="Arial" w:eastAsia="Times New Roman" w:hAnsi="Arial" w:cs="Arial"/>
          <w:color w:val="333333"/>
          <w:sz w:val="18"/>
          <w:szCs w:val="18"/>
        </w:rPr>
        <w:br/>
      </w:r>
      <w:r w:rsidRPr="0003266A">
        <w:rPr>
          <w:rFonts w:ascii="Arial" w:eastAsia="Times New Roman" w:hAnsi="Arial" w:cs="Arial"/>
          <w:b/>
          <w:bCs/>
          <w:color w:val="333333"/>
          <w:sz w:val="18"/>
          <w:szCs w:val="18"/>
        </w:rPr>
        <w:t>Teacher trainer at the</w:t>
      </w:r>
      <w:r w:rsidRPr="0003266A">
        <w:rPr>
          <w:rFonts w:ascii="Arial" w:eastAsia="Times New Roman" w:hAnsi="Arial" w:cs="Arial"/>
          <w:color w:val="333333"/>
          <w:sz w:val="18"/>
          <w:szCs w:val="18"/>
        </w:rPr>
        <w:t> </w:t>
      </w:r>
      <w:proofErr w:type="spellStart"/>
      <w:r w:rsidRPr="0003266A">
        <w:rPr>
          <w:rFonts w:ascii="Arial" w:eastAsia="Times New Roman" w:hAnsi="Arial" w:cs="Arial"/>
          <w:color w:val="333333"/>
          <w:sz w:val="18"/>
          <w:szCs w:val="18"/>
        </w:rPr>
        <w:t>Pädgogische</w:t>
      </w:r>
      <w:proofErr w:type="spellEnd"/>
      <w:r w:rsidRPr="0003266A">
        <w:rPr>
          <w:rFonts w:ascii="Arial" w:eastAsia="Times New Roman" w:hAnsi="Arial" w:cs="Arial"/>
          <w:color w:val="333333"/>
          <w:sz w:val="18"/>
          <w:szCs w:val="18"/>
        </w:rPr>
        <w:t xml:space="preserve"> Hochschule Steiermark and others.</w:t>
      </w:r>
      <w:r w:rsidRPr="0003266A">
        <w:rPr>
          <w:rFonts w:ascii="Arial" w:eastAsia="Times New Roman" w:hAnsi="Arial" w:cs="Arial"/>
          <w:color w:val="333333"/>
          <w:sz w:val="18"/>
          <w:szCs w:val="18"/>
        </w:rPr>
        <w:br/>
      </w:r>
      <w:r w:rsidRPr="0003266A">
        <w:rPr>
          <w:rFonts w:ascii="Arial" w:eastAsia="Times New Roman" w:hAnsi="Arial" w:cs="Arial"/>
          <w:color w:val="333333"/>
          <w:sz w:val="18"/>
          <w:szCs w:val="18"/>
        </w:rPr>
        <w:br/>
      </w:r>
      <w:r w:rsidRPr="0003266A">
        <w:rPr>
          <w:rFonts w:ascii="Arial" w:eastAsia="Times New Roman" w:hAnsi="Arial" w:cs="Arial"/>
          <w:b/>
          <w:bCs/>
          <w:color w:val="333333"/>
          <w:sz w:val="18"/>
          <w:szCs w:val="18"/>
        </w:rPr>
        <w:t>Current responsibilities in our department:</w:t>
      </w:r>
      <w:r w:rsidRPr="0003266A">
        <w:rPr>
          <w:rFonts w:ascii="Arial" w:eastAsia="Times New Roman" w:hAnsi="Arial" w:cs="Arial"/>
          <w:color w:val="333333"/>
          <w:sz w:val="18"/>
          <w:szCs w:val="18"/>
        </w:rPr>
        <w:br/>
      </w:r>
      <w:r w:rsidRPr="0003266A">
        <w:rPr>
          <w:rFonts w:ascii="Arial" w:eastAsia="Times New Roman" w:hAnsi="Arial" w:cs="Arial"/>
          <w:color w:val="333333"/>
          <w:sz w:val="18"/>
          <w:szCs w:val="18"/>
        </w:rPr>
        <w:br/>
      </w:r>
      <w:r w:rsidRPr="0003266A">
        <w:rPr>
          <w:rFonts w:ascii="Arial" w:eastAsia="Times New Roman" w:hAnsi="Arial" w:cs="Arial"/>
          <w:b/>
          <w:bCs/>
          <w:color w:val="333333"/>
          <w:sz w:val="18"/>
          <w:szCs w:val="18"/>
        </w:rPr>
        <w:t>Teaching</w:t>
      </w:r>
      <w:r w:rsidRPr="0003266A">
        <w:rPr>
          <w:rFonts w:ascii="Arial" w:eastAsia="Times New Roman" w:hAnsi="Arial" w:cs="Arial"/>
          <w:color w:val="333333"/>
          <w:sz w:val="18"/>
          <w:szCs w:val="18"/>
        </w:rPr>
        <w:t>:          Error Analysis and Assessment, KS 511745</w:t>
      </w:r>
      <w:r w:rsidRPr="0003266A">
        <w:rPr>
          <w:rFonts w:ascii="Arial" w:eastAsia="Times New Roman" w:hAnsi="Arial" w:cs="Arial"/>
          <w:color w:val="333333"/>
          <w:sz w:val="18"/>
          <w:szCs w:val="18"/>
        </w:rPr>
        <w:br/>
        <w:t>                        Methodology of Teaching Literature and Culture, PS 4, 511.440</w:t>
      </w:r>
      <w:r w:rsidRPr="0003266A">
        <w:rPr>
          <w:rFonts w:ascii="Arial" w:eastAsia="Times New Roman" w:hAnsi="Arial" w:cs="Arial"/>
          <w:color w:val="333333"/>
          <w:sz w:val="18"/>
          <w:szCs w:val="18"/>
        </w:rPr>
        <w:br/>
        <w:t>                        Language Education for Specific Contexts, PS 6, 511.460</w:t>
      </w:r>
      <w:r w:rsidRPr="0003266A">
        <w:rPr>
          <w:rFonts w:ascii="Arial" w:eastAsia="Times New Roman" w:hAnsi="Arial" w:cs="Arial"/>
          <w:color w:val="333333"/>
          <w:sz w:val="18"/>
          <w:szCs w:val="18"/>
        </w:rPr>
        <w:br/>
      </w:r>
      <w:r w:rsidRPr="0003266A">
        <w:rPr>
          <w:rFonts w:ascii="Arial" w:eastAsia="Times New Roman" w:hAnsi="Arial" w:cs="Arial"/>
          <w:color w:val="333333"/>
          <w:sz w:val="18"/>
          <w:szCs w:val="18"/>
        </w:rPr>
        <w:br/>
      </w:r>
      <w:r w:rsidRPr="0003266A">
        <w:rPr>
          <w:rFonts w:ascii="Arial" w:eastAsia="Times New Roman" w:hAnsi="Arial" w:cs="Arial"/>
          <w:b/>
          <w:bCs/>
          <w:color w:val="333333"/>
          <w:sz w:val="18"/>
          <w:szCs w:val="18"/>
        </w:rPr>
        <w:t>Coordination</w:t>
      </w:r>
      <w:r w:rsidRPr="0003266A">
        <w:rPr>
          <w:rFonts w:ascii="Arial" w:eastAsia="Times New Roman" w:hAnsi="Arial" w:cs="Arial"/>
          <w:color w:val="333333"/>
          <w:sz w:val="18"/>
          <w:szCs w:val="18"/>
        </w:rPr>
        <w:t xml:space="preserve"> of </w:t>
      </w:r>
      <w:proofErr w:type="spellStart"/>
      <w:r w:rsidRPr="0003266A">
        <w:rPr>
          <w:rFonts w:ascii="Arial" w:eastAsia="Times New Roman" w:hAnsi="Arial" w:cs="Arial"/>
          <w:color w:val="333333"/>
          <w:sz w:val="18"/>
          <w:szCs w:val="18"/>
        </w:rPr>
        <w:t>activites</w:t>
      </w:r>
      <w:proofErr w:type="spellEnd"/>
      <w:r w:rsidRPr="0003266A">
        <w:rPr>
          <w:rFonts w:ascii="Arial" w:eastAsia="Times New Roman" w:hAnsi="Arial" w:cs="Arial"/>
          <w:color w:val="333333"/>
          <w:sz w:val="18"/>
          <w:szCs w:val="18"/>
        </w:rPr>
        <w:t xml:space="preserve"> in language didactics and methodology, training of mentors for school-practice and newly-qualified teachers, cooperation with the </w:t>
      </w:r>
      <w:hyperlink w:tooltip="GEWI FDZ" w:history="1">
        <w:r w:rsidRPr="0003266A">
          <w:rPr>
            <w:rFonts w:ascii="Arial" w:eastAsia="Times New Roman" w:hAnsi="Arial" w:cs="Arial"/>
            <w:color w:val="003366"/>
            <w:sz w:val="18"/>
            <w:szCs w:val="18"/>
          </w:rPr>
          <w:t>FDZ-GEWI</w:t>
        </w:r>
      </w:hyperlink>
      <w:r w:rsidRPr="0003266A">
        <w:rPr>
          <w:rFonts w:ascii="Arial" w:eastAsia="Times New Roman" w:hAnsi="Arial" w:cs="Arial"/>
          <w:color w:val="333333"/>
          <w:sz w:val="18"/>
          <w:szCs w:val="18"/>
        </w:rPr>
        <w:br/>
      </w:r>
    </w:p>
    <w:p w14:paraId="5748EAF9" w14:textId="77777777" w:rsidR="0003266A" w:rsidRPr="0003266A" w:rsidRDefault="0003266A" w:rsidP="0003266A">
      <w:pPr>
        <w:shd w:val="clear" w:color="auto" w:fill="FFFFFF"/>
        <w:spacing w:line="270" w:lineRule="atLeast"/>
        <w:jc w:val="left"/>
        <w:outlineLvl w:val="1"/>
        <w:rPr>
          <w:rFonts w:ascii="Arial" w:eastAsia="Times New Roman" w:hAnsi="Arial" w:cs="Arial"/>
          <w:b/>
          <w:bCs/>
          <w:color w:val="003366"/>
        </w:rPr>
      </w:pPr>
      <w:r w:rsidRPr="0003266A">
        <w:rPr>
          <w:rFonts w:ascii="Arial" w:eastAsia="Times New Roman" w:hAnsi="Arial" w:cs="Arial"/>
          <w:b/>
          <w:bCs/>
          <w:color w:val="003366"/>
        </w:rPr>
        <w:t>Current projects:</w:t>
      </w:r>
    </w:p>
    <w:p w14:paraId="236B324B" w14:textId="77777777" w:rsidR="0003266A" w:rsidRPr="0003266A" w:rsidRDefault="0003266A" w:rsidP="0003266A">
      <w:pPr>
        <w:jc w:val="left"/>
        <w:rPr>
          <w:rFonts w:ascii="Times New Roman" w:eastAsia="Times New Roman" w:hAnsi="Times New Roman" w:cs="Times New Roman"/>
          <w:sz w:val="24"/>
          <w:szCs w:val="24"/>
        </w:rPr>
      </w:pPr>
    </w:p>
    <w:tbl>
      <w:tblPr>
        <w:tblW w:w="7470" w:type="dxa"/>
        <w:tblCellSpacing w:w="0" w:type="dxa"/>
        <w:tblBorders>
          <w:top w:val="single" w:sz="6" w:space="0" w:color="A9D4F1"/>
          <w:left w:val="single" w:sz="6" w:space="0" w:color="A9D4F1"/>
          <w:bottom w:val="single" w:sz="6" w:space="0" w:color="A9D4F1"/>
          <w:right w:val="single" w:sz="6" w:space="0" w:color="A9D4F1"/>
        </w:tblBorders>
        <w:shd w:val="clear" w:color="auto" w:fill="FFFFFF"/>
        <w:tblCellMar>
          <w:top w:w="60" w:type="dxa"/>
          <w:left w:w="60" w:type="dxa"/>
          <w:bottom w:w="60" w:type="dxa"/>
          <w:right w:w="60" w:type="dxa"/>
        </w:tblCellMar>
        <w:tblLook w:val="04A0" w:firstRow="1" w:lastRow="0" w:firstColumn="1" w:lastColumn="0" w:noHBand="0" w:noVBand="1"/>
      </w:tblPr>
      <w:tblGrid>
        <w:gridCol w:w="7470"/>
      </w:tblGrid>
      <w:tr w:rsidR="0003266A" w:rsidRPr="0003266A" w14:paraId="436387CD" w14:textId="77777777" w:rsidTr="0003266A">
        <w:trPr>
          <w:tblCellSpacing w:w="0" w:type="dxa"/>
        </w:trPr>
        <w:tc>
          <w:tcPr>
            <w:tcW w:w="0" w:type="auto"/>
            <w:shd w:val="clear" w:color="auto" w:fill="FFFFFF"/>
            <w:hideMark/>
          </w:tcPr>
          <w:p w14:paraId="627526EF" w14:textId="77777777" w:rsidR="0003266A" w:rsidRPr="0003266A" w:rsidRDefault="0003266A" w:rsidP="0003266A">
            <w:pPr>
              <w:spacing w:after="200" w:line="270" w:lineRule="atLeast"/>
              <w:jc w:val="left"/>
              <w:rPr>
                <w:rFonts w:ascii="Arial" w:eastAsia="Times New Roman" w:hAnsi="Arial" w:cs="Arial"/>
                <w:color w:val="333333"/>
                <w:sz w:val="20"/>
                <w:szCs w:val="20"/>
              </w:rPr>
            </w:pPr>
            <w:r w:rsidRPr="0003266A">
              <w:rPr>
                <w:rFonts w:ascii="Arial" w:eastAsia="Times New Roman" w:hAnsi="Arial" w:cs="Arial"/>
                <w:b/>
                <w:bCs/>
                <w:color w:val="333333"/>
                <w:sz w:val="20"/>
                <w:szCs w:val="20"/>
              </w:rPr>
              <w:t>Teaching reading, literature and culture:</w:t>
            </w:r>
          </w:p>
        </w:tc>
      </w:tr>
    </w:tbl>
    <w:p w14:paraId="5C5D894E" w14:textId="77777777" w:rsidR="0003266A" w:rsidRPr="0003266A" w:rsidRDefault="0003266A" w:rsidP="0003266A">
      <w:pPr>
        <w:shd w:val="clear" w:color="auto" w:fill="FFFFFF"/>
        <w:spacing w:after="150" w:line="270" w:lineRule="atLeast"/>
        <w:jc w:val="left"/>
        <w:rPr>
          <w:rFonts w:ascii="Arial" w:eastAsia="Times New Roman" w:hAnsi="Arial" w:cs="Arial"/>
          <w:color w:val="333333"/>
          <w:sz w:val="18"/>
          <w:szCs w:val="18"/>
        </w:rPr>
      </w:pPr>
      <w:r w:rsidRPr="0003266A">
        <w:rPr>
          <w:rFonts w:ascii="Arial" w:eastAsia="Times New Roman" w:hAnsi="Arial" w:cs="Arial"/>
          <w:b/>
          <w:bCs/>
          <w:color w:val="333333"/>
          <w:sz w:val="18"/>
          <w:szCs w:val="18"/>
        </w:rPr>
        <w:t>Goals: </w:t>
      </w:r>
      <w:r w:rsidRPr="0003266A">
        <w:rPr>
          <w:rFonts w:ascii="Arial" w:eastAsia="Times New Roman" w:hAnsi="Arial" w:cs="Arial"/>
          <w:color w:val="333333"/>
          <w:sz w:val="18"/>
          <w:szCs w:val="18"/>
        </w:rPr>
        <w:t>Active reading-education, exploring other cultures through literature, raising cultural awareness,</w:t>
      </w:r>
      <w:r w:rsidRPr="0003266A">
        <w:rPr>
          <w:rFonts w:ascii="Arial" w:eastAsia="Times New Roman" w:hAnsi="Arial" w:cs="Arial"/>
          <w:color w:val="333333"/>
          <w:sz w:val="18"/>
          <w:szCs w:val="18"/>
        </w:rPr>
        <w:br/>
        <w:t xml:space="preserve">joint reading projects between </w:t>
      </w:r>
      <w:proofErr w:type="spellStart"/>
      <w:r w:rsidRPr="0003266A">
        <w:rPr>
          <w:rFonts w:ascii="Arial" w:eastAsia="Times New Roman" w:hAnsi="Arial" w:cs="Arial"/>
          <w:color w:val="333333"/>
          <w:sz w:val="18"/>
          <w:szCs w:val="18"/>
        </w:rPr>
        <w:t>universtiy</w:t>
      </w:r>
      <w:proofErr w:type="spellEnd"/>
      <w:r w:rsidRPr="0003266A">
        <w:rPr>
          <w:rFonts w:ascii="Arial" w:eastAsia="Times New Roman" w:hAnsi="Arial" w:cs="Arial"/>
          <w:color w:val="333333"/>
          <w:sz w:val="18"/>
          <w:szCs w:val="18"/>
        </w:rPr>
        <w:t xml:space="preserve"> students and students at  </w:t>
      </w:r>
      <w:hyperlink r:id="rId6" w:tooltip="www.gibs.at" w:history="1">
        <w:r w:rsidRPr="0003266A">
          <w:rPr>
            <w:rFonts w:ascii="Arial" w:eastAsia="Times New Roman" w:hAnsi="Arial" w:cs="Arial"/>
            <w:color w:val="003366"/>
            <w:sz w:val="18"/>
            <w:szCs w:val="18"/>
          </w:rPr>
          <w:t>GIBS</w:t>
        </w:r>
      </w:hyperlink>
      <w:r w:rsidRPr="0003266A">
        <w:rPr>
          <w:rFonts w:ascii="Arial" w:eastAsia="Times New Roman" w:hAnsi="Arial" w:cs="Arial"/>
          <w:color w:val="333333"/>
          <w:sz w:val="18"/>
          <w:szCs w:val="18"/>
        </w:rPr>
        <w:t> .</w:t>
      </w:r>
      <w:r w:rsidRPr="0003266A">
        <w:rPr>
          <w:rFonts w:ascii="Arial" w:eastAsia="Times New Roman" w:hAnsi="Arial" w:cs="Arial"/>
          <w:color w:val="333333"/>
          <w:sz w:val="18"/>
          <w:szCs w:val="18"/>
        </w:rPr>
        <w:br/>
      </w:r>
      <w:r w:rsidRPr="0003266A">
        <w:rPr>
          <w:rFonts w:ascii="Arial" w:eastAsia="Times New Roman" w:hAnsi="Arial" w:cs="Arial"/>
          <w:color w:val="333333"/>
          <w:sz w:val="18"/>
          <w:szCs w:val="18"/>
        </w:rPr>
        <w:br/>
      </w:r>
      <w:proofErr w:type="spellStart"/>
      <w:r w:rsidRPr="0003266A">
        <w:rPr>
          <w:rFonts w:ascii="Arial" w:eastAsia="Times New Roman" w:hAnsi="Arial" w:cs="Arial"/>
          <w:color w:val="333333"/>
          <w:sz w:val="18"/>
          <w:szCs w:val="18"/>
        </w:rPr>
        <w:t>Kooperation</w:t>
      </w:r>
      <w:proofErr w:type="spellEnd"/>
      <w:r w:rsidRPr="0003266A">
        <w:rPr>
          <w:rFonts w:ascii="Arial" w:eastAsia="Times New Roman" w:hAnsi="Arial" w:cs="Arial"/>
          <w:color w:val="333333"/>
          <w:sz w:val="18"/>
          <w:szCs w:val="18"/>
        </w:rPr>
        <w:t xml:space="preserve"> project: Uni-Graz and BG GIBS (Graz International Bilingual School):</w:t>
      </w:r>
      <w:r w:rsidRPr="0003266A">
        <w:rPr>
          <w:rFonts w:ascii="Arial" w:eastAsia="Times New Roman" w:hAnsi="Arial" w:cs="Arial"/>
          <w:color w:val="333333"/>
          <w:sz w:val="18"/>
          <w:szCs w:val="18"/>
        </w:rPr>
        <w:br/>
        <w:t>Cross-cultural reading project: </w:t>
      </w:r>
      <w:hyperlink r:id="rId7" w:tooltip="crossing-borders" w:history="1">
        <w:r w:rsidRPr="0003266A">
          <w:rPr>
            <w:rFonts w:ascii="Arial" w:eastAsia="Times New Roman" w:hAnsi="Arial" w:cs="Arial"/>
            <w:color w:val="003366"/>
            <w:sz w:val="18"/>
            <w:szCs w:val="18"/>
          </w:rPr>
          <w:t>"Crossing Borders"</w:t>
        </w:r>
        <w:r w:rsidRPr="0003266A">
          <w:rPr>
            <w:rFonts w:ascii="Arial" w:eastAsia="Times New Roman" w:hAnsi="Arial" w:cs="Arial"/>
            <w:color w:val="003366"/>
            <w:sz w:val="18"/>
            <w:szCs w:val="18"/>
          </w:rPr>
          <w:br/>
        </w:r>
      </w:hyperlink>
    </w:p>
    <w:p w14:paraId="0B695A45" w14:textId="77777777" w:rsidR="0003266A" w:rsidRPr="0003266A" w:rsidRDefault="0003266A" w:rsidP="0003266A">
      <w:pPr>
        <w:shd w:val="clear" w:color="auto" w:fill="FFFFFF"/>
        <w:spacing w:after="150" w:line="270" w:lineRule="atLeast"/>
        <w:jc w:val="left"/>
        <w:rPr>
          <w:rFonts w:ascii="Arial" w:eastAsia="Times New Roman" w:hAnsi="Arial" w:cs="Arial"/>
          <w:color w:val="333333"/>
          <w:sz w:val="18"/>
          <w:szCs w:val="18"/>
        </w:rPr>
      </w:pPr>
    </w:p>
    <w:tbl>
      <w:tblPr>
        <w:tblW w:w="7470" w:type="dxa"/>
        <w:tblCellSpacing w:w="0" w:type="dxa"/>
        <w:tblBorders>
          <w:top w:val="single" w:sz="6" w:space="0" w:color="A9D4F1"/>
          <w:left w:val="single" w:sz="6" w:space="0" w:color="A9D4F1"/>
          <w:bottom w:val="single" w:sz="6" w:space="0" w:color="A9D4F1"/>
          <w:right w:val="single" w:sz="6" w:space="0" w:color="A9D4F1"/>
        </w:tblBorders>
        <w:shd w:val="clear" w:color="auto" w:fill="FFFFFF"/>
        <w:tblCellMar>
          <w:top w:w="60" w:type="dxa"/>
          <w:left w:w="60" w:type="dxa"/>
          <w:bottom w:w="60" w:type="dxa"/>
          <w:right w:w="60" w:type="dxa"/>
        </w:tblCellMar>
        <w:tblLook w:val="04A0" w:firstRow="1" w:lastRow="0" w:firstColumn="1" w:lastColumn="0" w:noHBand="0" w:noVBand="1"/>
      </w:tblPr>
      <w:tblGrid>
        <w:gridCol w:w="7470"/>
      </w:tblGrid>
      <w:tr w:rsidR="0003266A" w:rsidRPr="0003266A" w14:paraId="3F402806" w14:textId="77777777" w:rsidTr="0003266A">
        <w:trPr>
          <w:tblCellSpacing w:w="0" w:type="dxa"/>
        </w:trPr>
        <w:tc>
          <w:tcPr>
            <w:tcW w:w="0" w:type="auto"/>
            <w:shd w:val="clear" w:color="auto" w:fill="FFFFFF"/>
            <w:hideMark/>
          </w:tcPr>
          <w:p w14:paraId="63B8AFE1" w14:textId="77777777" w:rsidR="0003266A" w:rsidRPr="0003266A" w:rsidRDefault="0003266A" w:rsidP="0003266A">
            <w:pPr>
              <w:spacing w:after="200" w:line="270" w:lineRule="atLeast"/>
              <w:jc w:val="left"/>
              <w:rPr>
                <w:rFonts w:ascii="Arial" w:eastAsia="Times New Roman" w:hAnsi="Arial" w:cs="Arial"/>
                <w:color w:val="333333"/>
                <w:sz w:val="20"/>
                <w:szCs w:val="20"/>
              </w:rPr>
            </w:pPr>
            <w:r w:rsidRPr="0003266A">
              <w:rPr>
                <w:rFonts w:ascii="Arial" w:eastAsia="Times New Roman" w:hAnsi="Arial" w:cs="Arial"/>
                <w:b/>
                <w:bCs/>
                <w:color w:val="333333"/>
                <w:sz w:val="20"/>
                <w:szCs w:val="20"/>
              </w:rPr>
              <w:t>Autonomous, self-directed learning:</w:t>
            </w:r>
          </w:p>
        </w:tc>
      </w:tr>
    </w:tbl>
    <w:p w14:paraId="1B4C4D7E" w14:textId="77777777" w:rsidR="0003266A" w:rsidRPr="0003266A" w:rsidRDefault="0003266A" w:rsidP="0003266A">
      <w:pPr>
        <w:shd w:val="clear" w:color="auto" w:fill="FFFFFF"/>
        <w:spacing w:after="150" w:line="270" w:lineRule="atLeast"/>
        <w:jc w:val="left"/>
        <w:rPr>
          <w:rFonts w:ascii="Arial" w:eastAsia="Times New Roman" w:hAnsi="Arial" w:cs="Arial"/>
          <w:color w:val="333333"/>
          <w:sz w:val="18"/>
          <w:szCs w:val="18"/>
        </w:rPr>
      </w:pPr>
      <w:r w:rsidRPr="0003266A">
        <w:rPr>
          <w:rFonts w:ascii="Arial" w:eastAsia="Times New Roman" w:hAnsi="Arial" w:cs="Arial"/>
          <w:b/>
          <w:bCs/>
          <w:color w:val="333333"/>
          <w:sz w:val="18"/>
          <w:szCs w:val="18"/>
        </w:rPr>
        <w:t>Goals:</w:t>
      </w:r>
      <w:r w:rsidRPr="0003266A">
        <w:rPr>
          <w:rFonts w:ascii="Arial" w:eastAsia="Times New Roman" w:hAnsi="Arial" w:cs="Arial"/>
          <w:color w:val="333333"/>
          <w:sz w:val="18"/>
          <w:szCs w:val="18"/>
        </w:rPr>
        <w:t> Encouraging self-directed learning through portfolio work, self-assessment and transparent, criteria-based  assessment.</w:t>
      </w:r>
    </w:p>
    <w:p w14:paraId="5945900C" w14:textId="77777777" w:rsidR="0003266A" w:rsidRPr="0003266A" w:rsidRDefault="0003266A" w:rsidP="0003266A">
      <w:pPr>
        <w:jc w:val="left"/>
        <w:rPr>
          <w:rFonts w:ascii="Times New Roman" w:eastAsia="Times New Roman" w:hAnsi="Times New Roman" w:cs="Times New Roman"/>
          <w:sz w:val="24"/>
          <w:szCs w:val="24"/>
        </w:rPr>
      </w:pPr>
    </w:p>
    <w:tbl>
      <w:tblPr>
        <w:tblW w:w="7470" w:type="dxa"/>
        <w:tblCellSpacing w:w="0" w:type="dxa"/>
        <w:tblBorders>
          <w:top w:val="single" w:sz="6" w:space="0" w:color="A9D4F1"/>
          <w:left w:val="single" w:sz="6" w:space="0" w:color="A9D4F1"/>
          <w:bottom w:val="single" w:sz="6" w:space="0" w:color="A9D4F1"/>
          <w:right w:val="single" w:sz="6" w:space="0" w:color="A9D4F1"/>
        </w:tblBorders>
        <w:shd w:val="clear" w:color="auto" w:fill="FFFFFF"/>
        <w:tblCellMar>
          <w:top w:w="60" w:type="dxa"/>
          <w:left w:w="60" w:type="dxa"/>
          <w:bottom w:w="60" w:type="dxa"/>
          <w:right w:w="60" w:type="dxa"/>
        </w:tblCellMar>
        <w:tblLook w:val="04A0" w:firstRow="1" w:lastRow="0" w:firstColumn="1" w:lastColumn="0" w:noHBand="0" w:noVBand="1"/>
      </w:tblPr>
      <w:tblGrid>
        <w:gridCol w:w="7470"/>
      </w:tblGrid>
      <w:tr w:rsidR="0003266A" w:rsidRPr="0003266A" w14:paraId="7FD06A7F" w14:textId="77777777" w:rsidTr="0003266A">
        <w:trPr>
          <w:tblCellSpacing w:w="0" w:type="dxa"/>
        </w:trPr>
        <w:tc>
          <w:tcPr>
            <w:tcW w:w="0" w:type="auto"/>
            <w:shd w:val="clear" w:color="auto" w:fill="FFFFFF"/>
            <w:hideMark/>
          </w:tcPr>
          <w:p w14:paraId="5CB3FBD1" w14:textId="77777777" w:rsidR="0003266A" w:rsidRPr="0003266A" w:rsidRDefault="0003266A" w:rsidP="0003266A">
            <w:pPr>
              <w:spacing w:after="200" w:line="270" w:lineRule="atLeast"/>
              <w:jc w:val="left"/>
              <w:rPr>
                <w:rFonts w:ascii="Arial" w:eastAsia="Times New Roman" w:hAnsi="Arial" w:cs="Arial"/>
                <w:color w:val="333333"/>
                <w:sz w:val="20"/>
                <w:szCs w:val="20"/>
              </w:rPr>
            </w:pPr>
            <w:r w:rsidRPr="0003266A">
              <w:rPr>
                <w:rFonts w:ascii="Arial" w:eastAsia="Times New Roman" w:hAnsi="Arial" w:cs="Arial"/>
                <w:b/>
                <w:bCs/>
                <w:color w:val="333333"/>
                <w:sz w:val="20"/>
                <w:szCs w:val="20"/>
              </w:rPr>
              <w:t>Assessment of Written Work</w:t>
            </w:r>
          </w:p>
        </w:tc>
      </w:tr>
    </w:tbl>
    <w:p w14:paraId="799287B7" w14:textId="77777777" w:rsidR="0003266A" w:rsidRPr="0003266A" w:rsidRDefault="0003266A" w:rsidP="0003266A">
      <w:pPr>
        <w:shd w:val="clear" w:color="auto" w:fill="FFFFFF"/>
        <w:spacing w:after="150" w:line="270" w:lineRule="atLeast"/>
        <w:jc w:val="left"/>
        <w:rPr>
          <w:rFonts w:ascii="Arial" w:eastAsia="Times New Roman" w:hAnsi="Arial" w:cs="Arial"/>
          <w:color w:val="333333"/>
          <w:sz w:val="18"/>
          <w:szCs w:val="18"/>
        </w:rPr>
      </w:pPr>
      <w:r w:rsidRPr="0003266A">
        <w:rPr>
          <w:rFonts w:ascii="Arial" w:eastAsia="Times New Roman" w:hAnsi="Arial" w:cs="Arial"/>
          <w:b/>
          <w:bCs/>
          <w:color w:val="333333"/>
          <w:sz w:val="18"/>
          <w:szCs w:val="18"/>
        </w:rPr>
        <w:t>Goals</w:t>
      </w:r>
      <w:r w:rsidRPr="0003266A">
        <w:rPr>
          <w:rFonts w:ascii="Arial" w:eastAsia="Times New Roman" w:hAnsi="Arial" w:cs="Arial"/>
          <w:color w:val="333333"/>
          <w:sz w:val="18"/>
          <w:szCs w:val="18"/>
        </w:rPr>
        <w:t>: higher reliability and comparability of assessment and grades among teachers of English in Austria. Using the positive wash-back effect of the new tests in order to create more representative and realistic writing tasks as well as better communication of the assessment criteria to the learners.</w:t>
      </w:r>
      <w:r w:rsidRPr="0003266A">
        <w:rPr>
          <w:rFonts w:ascii="Arial" w:eastAsia="Times New Roman" w:hAnsi="Arial" w:cs="Arial"/>
          <w:color w:val="333333"/>
          <w:sz w:val="18"/>
          <w:szCs w:val="18"/>
        </w:rPr>
        <w:br/>
      </w:r>
      <w:r w:rsidRPr="0003266A">
        <w:rPr>
          <w:rFonts w:ascii="Arial" w:eastAsia="Times New Roman" w:hAnsi="Arial" w:cs="Arial"/>
          <w:color w:val="333333"/>
          <w:sz w:val="18"/>
          <w:szCs w:val="18"/>
        </w:rPr>
        <w:br/>
        <w:t>In order to achieve these goals a </w:t>
      </w:r>
      <w:hyperlink r:id="rId8" w:tooltip="www.polzleitner.com/epep/Assessment/NewAssessmentScales/Bauer-Poelzleitner.pdf" w:history="1">
        <w:r w:rsidRPr="0003266A">
          <w:rPr>
            <w:rFonts w:ascii="Arial" w:eastAsia="Times New Roman" w:hAnsi="Arial" w:cs="Arial"/>
            <w:color w:val="003366"/>
            <w:sz w:val="18"/>
            <w:szCs w:val="18"/>
          </w:rPr>
          <w:t>new assessment scale</w:t>
        </w:r>
      </w:hyperlink>
      <w:r w:rsidRPr="0003266A">
        <w:rPr>
          <w:rFonts w:ascii="Arial" w:eastAsia="Times New Roman" w:hAnsi="Arial" w:cs="Arial"/>
          <w:color w:val="333333"/>
          <w:sz w:val="18"/>
          <w:szCs w:val="18"/>
        </w:rPr>
        <w:t> has been developed in cooperation with the ARGE English at AHS Styria. The new scale has been tested in schools and final exams for the last two years. An online survey among English teachers in Styria has shown high satisfaction with the new scale as well as a strong wash-back effect on their teaching of different text-types and registers.</w:t>
      </w:r>
      <w:r w:rsidRPr="0003266A">
        <w:rPr>
          <w:rFonts w:ascii="Arial" w:eastAsia="Times New Roman" w:hAnsi="Arial" w:cs="Arial"/>
          <w:color w:val="333333"/>
          <w:sz w:val="18"/>
          <w:szCs w:val="18"/>
        </w:rPr>
        <w:br/>
      </w:r>
      <w:r w:rsidRPr="0003266A">
        <w:rPr>
          <w:rFonts w:ascii="Arial" w:eastAsia="Times New Roman" w:hAnsi="Arial" w:cs="Arial"/>
          <w:color w:val="333333"/>
          <w:sz w:val="18"/>
          <w:szCs w:val="18"/>
        </w:rPr>
        <w:br/>
        <w:t>Students of the course "Error Analysis and Assessment" have had the opportunity to practice assessing students at BG GIBS in a joint online project. The students' assessment turned out to be highly reliable after only a short period of rater training in class. This project has been given the status of an official partnership between the University and GIBS. </w:t>
      </w:r>
      <w:hyperlink r:id="rId9" w:tooltip="www.polzleitner.com/epep/Uni/FDZ/Assessment-Partnerprojekt-short.pdf" w:history="1">
        <w:r w:rsidRPr="0003266A">
          <w:rPr>
            <w:rFonts w:ascii="Arial" w:eastAsia="Times New Roman" w:hAnsi="Arial" w:cs="Arial"/>
            <w:color w:val="003366"/>
            <w:sz w:val="18"/>
            <w:szCs w:val="18"/>
          </w:rPr>
          <w:t>Read more...</w:t>
        </w:r>
      </w:hyperlink>
    </w:p>
    <w:p w14:paraId="056D61CF" w14:textId="77777777" w:rsidR="0003266A" w:rsidRPr="0003266A" w:rsidRDefault="0003266A" w:rsidP="0003266A">
      <w:pPr>
        <w:jc w:val="left"/>
        <w:rPr>
          <w:rFonts w:ascii="Times New Roman" w:eastAsia="Times New Roman" w:hAnsi="Times New Roman" w:cs="Times New Roman"/>
          <w:sz w:val="24"/>
          <w:szCs w:val="24"/>
        </w:rPr>
      </w:pPr>
      <w:r w:rsidRPr="0003266A">
        <w:rPr>
          <w:rFonts w:ascii="Arial" w:eastAsia="Times New Roman" w:hAnsi="Arial" w:cs="Arial"/>
          <w:color w:val="333333"/>
          <w:sz w:val="18"/>
          <w:szCs w:val="18"/>
        </w:rPr>
        <w:br/>
      </w:r>
    </w:p>
    <w:tbl>
      <w:tblPr>
        <w:tblW w:w="7470" w:type="dxa"/>
        <w:tblCellSpacing w:w="0" w:type="dxa"/>
        <w:tblBorders>
          <w:top w:val="single" w:sz="6" w:space="0" w:color="A9D4F1"/>
          <w:left w:val="single" w:sz="6" w:space="0" w:color="A9D4F1"/>
          <w:bottom w:val="single" w:sz="6" w:space="0" w:color="A9D4F1"/>
          <w:right w:val="single" w:sz="6" w:space="0" w:color="A9D4F1"/>
        </w:tblBorders>
        <w:shd w:val="clear" w:color="auto" w:fill="FFFFFF"/>
        <w:tblCellMar>
          <w:top w:w="60" w:type="dxa"/>
          <w:left w:w="60" w:type="dxa"/>
          <w:bottom w:w="60" w:type="dxa"/>
          <w:right w:w="60" w:type="dxa"/>
        </w:tblCellMar>
        <w:tblLook w:val="04A0" w:firstRow="1" w:lastRow="0" w:firstColumn="1" w:lastColumn="0" w:noHBand="0" w:noVBand="1"/>
      </w:tblPr>
      <w:tblGrid>
        <w:gridCol w:w="7470"/>
      </w:tblGrid>
      <w:tr w:rsidR="0003266A" w:rsidRPr="0003266A" w14:paraId="5866D012" w14:textId="77777777" w:rsidTr="0003266A">
        <w:trPr>
          <w:tblCellSpacing w:w="0" w:type="dxa"/>
        </w:trPr>
        <w:tc>
          <w:tcPr>
            <w:tcW w:w="0" w:type="auto"/>
            <w:shd w:val="clear" w:color="auto" w:fill="FFFFFF"/>
            <w:hideMark/>
          </w:tcPr>
          <w:p w14:paraId="504DEC15" w14:textId="77777777" w:rsidR="0003266A" w:rsidRPr="0003266A" w:rsidRDefault="0003266A" w:rsidP="0003266A">
            <w:pPr>
              <w:spacing w:after="200" w:line="270" w:lineRule="atLeast"/>
              <w:jc w:val="left"/>
              <w:rPr>
                <w:rFonts w:ascii="Arial" w:eastAsia="Times New Roman" w:hAnsi="Arial" w:cs="Arial"/>
                <w:color w:val="333333"/>
                <w:sz w:val="20"/>
                <w:szCs w:val="20"/>
              </w:rPr>
            </w:pPr>
            <w:r w:rsidRPr="0003266A">
              <w:rPr>
                <w:rFonts w:ascii="Arial" w:eastAsia="Times New Roman" w:hAnsi="Arial" w:cs="Arial"/>
                <w:b/>
                <w:bCs/>
                <w:color w:val="333333"/>
                <w:sz w:val="20"/>
                <w:szCs w:val="20"/>
              </w:rPr>
              <w:t>Development of a pool of good practice examples of ESL Materials  </w:t>
            </w:r>
          </w:p>
        </w:tc>
      </w:tr>
    </w:tbl>
    <w:p w14:paraId="7B4938B3" w14:textId="453B6285" w:rsidR="0003266A" w:rsidRDefault="0003266A"/>
    <w:p w14:paraId="123F6501" w14:textId="5446AE7B" w:rsidR="004145A0" w:rsidRDefault="004145A0"/>
    <w:p w14:paraId="36A09826" w14:textId="2C01B595" w:rsidR="002070EF" w:rsidRPr="002070EF" w:rsidRDefault="002070EF">
      <w:pPr>
        <w:rPr>
          <w:lang w:val="de-DE"/>
        </w:rPr>
      </w:pPr>
      <w:proofErr w:type="spellStart"/>
      <w:r w:rsidRPr="002070EF">
        <w:rPr>
          <w:lang w:val="de-DE"/>
        </w:rPr>
        <w:t>For</w:t>
      </w:r>
      <w:proofErr w:type="spellEnd"/>
      <w:r w:rsidRPr="002070EF">
        <w:rPr>
          <w:lang w:val="de-DE"/>
        </w:rPr>
        <w:t xml:space="preserve"> MLA 2021</w:t>
      </w:r>
    </w:p>
    <w:p w14:paraId="575BDE20" w14:textId="1B5EFF01" w:rsidR="004145A0" w:rsidRPr="002070EF" w:rsidRDefault="004145A0">
      <w:pPr>
        <w:rPr>
          <w:b/>
          <w:bCs/>
          <w:lang w:val="de-DE"/>
        </w:rPr>
      </w:pPr>
      <w:r w:rsidRPr="002070EF">
        <w:rPr>
          <w:b/>
          <w:bCs/>
          <w:lang w:val="de-DE"/>
        </w:rPr>
        <w:t>Elisabeth Pölzleitner</w:t>
      </w:r>
    </w:p>
    <w:p w14:paraId="5FA08F88" w14:textId="2CD8EE0E" w:rsidR="003C1074" w:rsidRDefault="002070EF">
      <w:pPr>
        <w:rPr>
          <w:lang w:val="de-DE"/>
        </w:rPr>
      </w:pPr>
      <w:r>
        <w:rPr>
          <w:lang w:val="de-DE"/>
        </w:rPr>
        <w:t>i</w:t>
      </w:r>
      <w:r w:rsidR="004145A0">
        <w:rPr>
          <w:lang w:val="de-DE"/>
        </w:rPr>
        <w:t xml:space="preserve">st ein neugieriger Geist und hat in ihrem langen Lehrerinnenleben schon bei vielen innovativen Projekten mitgearbeitet. </w:t>
      </w:r>
      <w:r w:rsidR="003C1074">
        <w:rPr>
          <w:lang w:val="de-DE"/>
        </w:rPr>
        <w:t xml:space="preserve">Als ganz junge Lehrerin machte sie in den </w:t>
      </w:r>
      <w:r>
        <w:rPr>
          <w:lang w:val="de-DE"/>
        </w:rPr>
        <w:t xml:space="preserve">frühen </w:t>
      </w:r>
      <w:r w:rsidR="003C1074">
        <w:rPr>
          <w:lang w:val="de-DE"/>
        </w:rPr>
        <w:t>1980er Jahren erste digitale</w:t>
      </w:r>
      <w:r>
        <w:rPr>
          <w:lang w:val="de-DE"/>
        </w:rPr>
        <w:t xml:space="preserve"> </w:t>
      </w:r>
      <w:r w:rsidR="003C1074">
        <w:rPr>
          <w:lang w:val="de-DE"/>
        </w:rPr>
        <w:t xml:space="preserve">Erfahrungen mit spannenden Textübungen auf </w:t>
      </w:r>
      <w:r>
        <w:rPr>
          <w:lang w:val="de-DE"/>
        </w:rPr>
        <w:t xml:space="preserve">den ersten verfügbaren Computern mit grün flimmernden Bildschirmen und </w:t>
      </w:r>
      <w:proofErr w:type="spellStart"/>
      <w:r>
        <w:rPr>
          <w:lang w:val="de-DE"/>
        </w:rPr>
        <w:t>Floppydisks</w:t>
      </w:r>
      <w:proofErr w:type="spellEnd"/>
      <w:r w:rsidR="003C1074">
        <w:rPr>
          <w:lang w:val="de-DE"/>
        </w:rPr>
        <w:t xml:space="preserve">. In ihrer Dissertation </w:t>
      </w:r>
      <w:r>
        <w:rPr>
          <w:lang w:val="de-DE"/>
        </w:rPr>
        <w:t>(1985)</w:t>
      </w:r>
      <w:r w:rsidR="003C1074">
        <w:rPr>
          <w:lang w:val="de-DE"/>
        </w:rPr>
        <w:t xml:space="preserve">traute sie sich </w:t>
      </w:r>
      <w:r>
        <w:rPr>
          <w:lang w:val="de-DE"/>
        </w:rPr>
        <w:t xml:space="preserve">ohne jegliche EDV Ausbildung </w:t>
      </w:r>
      <w:r w:rsidR="003C1074">
        <w:rPr>
          <w:lang w:val="de-DE"/>
        </w:rPr>
        <w:t>darüber</w:t>
      </w:r>
      <w:r>
        <w:rPr>
          <w:lang w:val="de-DE"/>
        </w:rPr>
        <w:t>,</w:t>
      </w:r>
      <w:r w:rsidR="003C1074">
        <w:rPr>
          <w:lang w:val="de-DE"/>
        </w:rPr>
        <w:t xml:space="preserve"> ein Programm zur automatischen Einschätzung der Schwierigkeit eines Textes für Schüler zu </w:t>
      </w:r>
      <w:r>
        <w:rPr>
          <w:lang w:val="de-DE"/>
        </w:rPr>
        <w:t>entwickeln. Dann war sie G</w:t>
      </w:r>
      <w:r w:rsidR="003C1074">
        <w:rPr>
          <w:lang w:val="de-DE"/>
        </w:rPr>
        <w:t xml:space="preserve">ründungsmitglied der </w:t>
      </w:r>
      <w:r w:rsidR="004145A0">
        <w:rPr>
          <w:lang w:val="de-DE"/>
        </w:rPr>
        <w:t>Graz International Bilingual School</w:t>
      </w:r>
      <w:r w:rsidR="003C1074">
        <w:rPr>
          <w:lang w:val="de-DE"/>
        </w:rPr>
        <w:t xml:space="preserve"> </w:t>
      </w:r>
      <w:r>
        <w:rPr>
          <w:lang w:val="de-DE"/>
        </w:rPr>
        <w:t xml:space="preserve">und trug maßgeblich zum offenen Unterrichtskonzept, und dem Kurssystem der Schule bei. Nach 25 Jahren </w:t>
      </w:r>
      <w:r w:rsidR="003C1074">
        <w:rPr>
          <w:lang w:val="de-DE"/>
        </w:rPr>
        <w:t>zog sie weiter an die Praxismittelschule der PH Steiermark um dort mit einem Team das Projekt „Flexible Eingangsstufe“ aufzubauen</w:t>
      </w:r>
      <w:r>
        <w:rPr>
          <w:lang w:val="de-DE"/>
        </w:rPr>
        <w:t xml:space="preserve"> und damit auch Kindern aus bildungsfernen Familien die Gelegenheit zu geben im eigenen Tempo echte Kompetenzen aufzubauen. </w:t>
      </w:r>
    </w:p>
    <w:p w14:paraId="7AF9C2F9" w14:textId="47C5D08D" w:rsidR="004145A0" w:rsidRDefault="004145A0">
      <w:pPr>
        <w:rPr>
          <w:lang w:val="de-DE"/>
        </w:rPr>
      </w:pPr>
      <w:r>
        <w:rPr>
          <w:lang w:val="de-DE"/>
        </w:rPr>
        <w:lastRenderedPageBreak/>
        <w:t>Sie unterrichtet seit mehr als 20 Jahren halb an der Schule und halb als</w:t>
      </w:r>
      <w:r w:rsidRPr="004145A0">
        <w:rPr>
          <w:lang w:val="de-DE"/>
        </w:rPr>
        <w:t xml:space="preserve"> Lehrende im Bereich Fachdidaktik a</w:t>
      </w:r>
      <w:r>
        <w:rPr>
          <w:lang w:val="de-DE"/>
        </w:rPr>
        <w:t>n der Pädagogischen Hochschule Steiermark und der Uni Graz. Ihre besonderen Interessen gelten dem extensiven und lustvollen Lesen im Fremdsprachenunterricht, dem gehirngerechten Sprachenlernen</w:t>
      </w:r>
      <w:r w:rsidR="003C1074">
        <w:rPr>
          <w:lang w:val="de-DE"/>
        </w:rPr>
        <w:t xml:space="preserve"> und dem Aufbau eines proaktiven, dynamischen Selbstbildes</w:t>
      </w:r>
      <w:r w:rsidR="00443B56">
        <w:rPr>
          <w:lang w:val="de-DE"/>
        </w:rPr>
        <w:t xml:space="preserve"> das Lernen erst richtig möglich macht.</w:t>
      </w:r>
      <w:r w:rsidR="002070EF">
        <w:rPr>
          <w:lang w:val="de-DE"/>
        </w:rPr>
        <w:t xml:space="preserve"> Auf all diesen Stationen hat sie digitale Werkzeuge kreativ eingesetzt um Lernen zu fördern und lustvoll zu gestalten. Elisabeth Pölzleitner betreibt auch ein</w:t>
      </w:r>
      <w:r w:rsidR="00443B56">
        <w:rPr>
          <w:lang w:val="de-DE"/>
        </w:rPr>
        <w:t xml:space="preserve">e vielbesuchte Webseite für kreative </w:t>
      </w:r>
      <w:proofErr w:type="spellStart"/>
      <w:r w:rsidR="00443B56">
        <w:rPr>
          <w:lang w:val="de-DE"/>
        </w:rPr>
        <w:t>EnglischlehrerInnen</w:t>
      </w:r>
      <w:proofErr w:type="spellEnd"/>
      <w:r w:rsidR="00443B56">
        <w:rPr>
          <w:lang w:val="de-DE"/>
        </w:rPr>
        <w:t xml:space="preserve">: </w:t>
      </w:r>
      <w:hyperlink r:id="rId10" w:history="1">
        <w:r w:rsidR="00443B56" w:rsidRPr="00384AAE">
          <w:rPr>
            <w:rStyle w:val="Hyperlink"/>
            <w:lang w:val="de-DE"/>
          </w:rPr>
          <w:t>www.epep.at</w:t>
        </w:r>
      </w:hyperlink>
    </w:p>
    <w:p w14:paraId="500C2022" w14:textId="77777777" w:rsidR="00443B56" w:rsidRPr="004145A0" w:rsidRDefault="00443B56">
      <w:pPr>
        <w:rPr>
          <w:lang w:val="de-DE"/>
        </w:rPr>
      </w:pPr>
    </w:p>
    <w:sectPr w:rsidR="00443B56" w:rsidRPr="004145A0"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266A"/>
    <w:rsid w:val="0003266A"/>
    <w:rsid w:val="002070EF"/>
    <w:rsid w:val="003C1074"/>
    <w:rsid w:val="003C42E3"/>
    <w:rsid w:val="004145A0"/>
    <w:rsid w:val="00443B56"/>
    <w:rsid w:val="004E6E5E"/>
    <w:rsid w:val="0062290D"/>
    <w:rsid w:val="00670AC2"/>
    <w:rsid w:val="00936875"/>
    <w:rsid w:val="0096337A"/>
    <w:rsid w:val="00B71135"/>
    <w:rsid w:val="00C52624"/>
    <w:rsid w:val="00D6209F"/>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6CCB5"/>
  <w15:docId w15:val="{A632CD0B-A885-4B3D-9614-95BF8DC8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3266A"/>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266A"/>
    <w:rPr>
      <w:rFonts w:ascii="Times New Roman" w:eastAsia="Times New Roman" w:hAnsi="Times New Roman" w:cs="Times New Roman"/>
      <w:b/>
      <w:bCs/>
      <w:sz w:val="36"/>
      <w:szCs w:val="36"/>
    </w:rPr>
  </w:style>
  <w:style w:type="character" w:styleId="Strong">
    <w:name w:val="Strong"/>
    <w:basedOn w:val="DefaultParagraphFont"/>
    <w:uiPriority w:val="22"/>
    <w:qFormat/>
    <w:rsid w:val="0003266A"/>
    <w:rPr>
      <w:b/>
      <w:bCs/>
    </w:rPr>
  </w:style>
  <w:style w:type="paragraph" w:styleId="NormalWeb">
    <w:name w:val="Normal (Web)"/>
    <w:basedOn w:val="Normal"/>
    <w:uiPriority w:val="99"/>
    <w:semiHidden/>
    <w:unhideWhenUsed/>
    <w:rsid w:val="0003266A"/>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3266A"/>
  </w:style>
  <w:style w:type="character" w:styleId="Hyperlink">
    <w:name w:val="Hyperlink"/>
    <w:basedOn w:val="DefaultParagraphFont"/>
    <w:uiPriority w:val="99"/>
    <w:unhideWhenUsed/>
    <w:rsid w:val="0003266A"/>
    <w:rPr>
      <w:color w:val="0000FF"/>
      <w:u w:val="single"/>
    </w:rPr>
  </w:style>
  <w:style w:type="paragraph" w:customStyle="1" w:styleId="Literaturverzeichnis1">
    <w:name w:val="Literaturverzeichnis1"/>
    <w:basedOn w:val="Normal"/>
    <w:autoRedefine/>
    <w:rsid w:val="00B71135"/>
    <w:pPr>
      <w:jc w:val="left"/>
    </w:pPr>
    <w:rPr>
      <w:rFonts w:ascii="Times New Roman" w:eastAsia="Times New Roman" w:hAnsi="Times New Roman" w:cs="Times New Roman"/>
      <w:color w:val="000000"/>
      <w:spacing w:val="-3"/>
      <w:sz w:val="24"/>
      <w:szCs w:val="20"/>
      <w:lang w:eastAsia="de-DE"/>
    </w:rPr>
  </w:style>
  <w:style w:type="character" w:styleId="UnresolvedMention">
    <w:name w:val="Unresolved Mention"/>
    <w:basedOn w:val="DefaultParagraphFont"/>
    <w:uiPriority w:val="99"/>
    <w:semiHidden/>
    <w:unhideWhenUsed/>
    <w:rsid w:val="00443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373859">
      <w:bodyDiv w:val="1"/>
      <w:marLeft w:val="0"/>
      <w:marRight w:val="0"/>
      <w:marTop w:val="0"/>
      <w:marBottom w:val="0"/>
      <w:divBdr>
        <w:top w:val="none" w:sz="0" w:space="0" w:color="auto"/>
        <w:left w:val="none" w:sz="0" w:space="0" w:color="auto"/>
        <w:bottom w:val="none" w:sz="0" w:space="0" w:color="auto"/>
        <w:right w:val="none" w:sz="0" w:space="0" w:color="auto"/>
      </w:divBdr>
    </w:div>
    <w:div w:id="33122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zleitner.com/epep/Assessment/NewAssessmentScales/Bauer-Poelzleitner.pdf" TargetMode="External"/><Relationship Id="rId3" Type="http://schemas.openxmlformats.org/officeDocument/2006/relationships/webSettings" Target="webSettings.xml"/><Relationship Id="rId7" Type="http://schemas.openxmlformats.org/officeDocument/2006/relationships/hyperlink" Target="http://www.uni-graz.at/en/angl3www/angl3www_forschung/angl3www_content-2.angl3www-elisabeth_poelzleitner/content-16.angl3www-newpag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bs.at/" TargetMode="External"/><Relationship Id="rId11" Type="http://schemas.openxmlformats.org/officeDocument/2006/relationships/fontTable" Target="fontTable.xml"/><Relationship Id="rId5" Type="http://schemas.openxmlformats.org/officeDocument/2006/relationships/hyperlink" Target="http://www.gibs.at/" TargetMode="External"/><Relationship Id="rId10" Type="http://schemas.openxmlformats.org/officeDocument/2006/relationships/hyperlink" Target="http://www.epep.at" TargetMode="External"/><Relationship Id="rId4" Type="http://schemas.openxmlformats.org/officeDocument/2006/relationships/hyperlink" Target="https://epep.at" TargetMode="External"/><Relationship Id="rId9" Type="http://schemas.openxmlformats.org/officeDocument/2006/relationships/hyperlink" Target="http://www.polzleitner.com/epep/Uni/FDZ/Assessment-Partnerprojekt-sh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Pölzleitner Elisabeth</cp:lastModifiedBy>
  <cp:revision>6</cp:revision>
  <dcterms:created xsi:type="dcterms:W3CDTF">2012-03-07T18:06:00Z</dcterms:created>
  <dcterms:modified xsi:type="dcterms:W3CDTF">2022-11-11T17:52:00Z</dcterms:modified>
</cp:coreProperties>
</file>